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93" w:rsidRPr="005046DB" w:rsidRDefault="00D53293" w:rsidP="00D53293">
      <w:pPr>
        <w:ind w:left="9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05"/>
        <w:gridCol w:w="9354"/>
        <w:gridCol w:w="230"/>
      </w:tblGrid>
      <w:tr w:rsidR="00D53293" w:rsidRPr="005A0183" w:rsidTr="0017672E">
        <w:tc>
          <w:tcPr>
            <w:tcW w:w="10207" w:type="dxa"/>
            <w:gridSpan w:val="3"/>
          </w:tcPr>
          <w:p w:rsidR="00D53293" w:rsidRDefault="00D53293" w:rsidP="00D53293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right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Проект</w:t>
            </w:r>
          </w:p>
          <w:p w:rsidR="00472934" w:rsidRDefault="00472934" w:rsidP="00D53293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right"/>
              <w:rPr>
                <w:b/>
                <w:sz w:val="32"/>
                <w:szCs w:val="36"/>
              </w:rPr>
            </w:pPr>
          </w:p>
          <w:p w:rsidR="00472934" w:rsidRDefault="00472934" w:rsidP="00D53293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right"/>
              <w:rPr>
                <w:b/>
                <w:sz w:val="32"/>
                <w:szCs w:val="36"/>
              </w:rPr>
            </w:pPr>
          </w:p>
          <w:p w:rsidR="00472934" w:rsidRDefault="00472934" w:rsidP="00D53293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right"/>
              <w:rPr>
                <w:b/>
                <w:sz w:val="32"/>
                <w:szCs w:val="36"/>
              </w:rPr>
            </w:pPr>
          </w:p>
          <w:p w:rsidR="00D53293" w:rsidRDefault="00D53293" w:rsidP="00D53293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right"/>
              <w:rPr>
                <w:b/>
                <w:sz w:val="32"/>
                <w:szCs w:val="36"/>
              </w:rPr>
            </w:pPr>
          </w:p>
          <w:p w:rsidR="00D53293" w:rsidRDefault="00D53293" w:rsidP="00D53293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right"/>
              <w:rPr>
                <w:b/>
                <w:sz w:val="32"/>
                <w:szCs w:val="36"/>
              </w:rPr>
            </w:pPr>
          </w:p>
          <w:p w:rsidR="00D53293" w:rsidRDefault="00D53293" w:rsidP="0017672E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Администрация муниципального образования «Ользоны»</w:t>
            </w:r>
          </w:p>
          <w:p w:rsidR="00D53293" w:rsidRDefault="00D53293" w:rsidP="0017672E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</w:p>
          <w:p w:rsidR="00D53293" w:rsidRDefault="00D53293" w:rsidP="0017672E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</w:p>
          <w:p w:rsidR="00D53293" w:rsidRDefault="00D53293" w:rsidP="0017672E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</w:p>
          <w:p w:rsidR="00D53293" w:rsidRDefault="00D53293" w:rsidP="0017672E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</w:p>
          <w:p w:rsidR="00D53293" w:rsidRDefault="00D53293" w:rsidP="0017672E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МЕСТНЫЕ НОРМАТИВЫ </w:t>
            </w:r>
            <w:proofErr w:type="gramStart"/>
            <w:r>
              <w:rPr>
                <w:b/>
                <w:sz w:val="32"/>
                <w:szCs w:val="36"/>
              </w:rPr>
              <w:t>ГРАДОСТРОИТЕЛЬНОГО</w:t>
            </w:r>
            <w:proofErr w:type="gramEnd"/>
          </w:p>
          <w:p w:rsidR="00D53293" w:rsidRDefault="00D53293" w:rsidP="0017672E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ПРОЕКТИРОВАНИЯ МУНИЦИПАЛЬНОГО ОБРАЗОВАНИЯ «ОЛЬЗОНЫ» БАЯНДАЕВСКОГО РАЙОНА</w:t>
            </w:r>
          </w:p>
          <w:p w:rsidR="00D53293" w:rsidRPr="007C4DAD" w:rsidRDefault="00D53293" w:rsidP="0017672E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D53293" w:rsidTr="001767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8" w:type="dxa"/>
          <w:wAfter w:w="241" w:type="dxa"/>
          <w:trHeight w:val="1242"/>
        </w:trPr>
        <w:tc>
          <w:tcPr>
            <w:tcW w:w="9648" w:type="dxa"/>
            <w:vAlign w:val="center"/>
          </w:tcPr>
          <w:p w:rsidR="00D53293" w:rsidRPr="00C71E1F" w:rsidRDefault="00D53293" w:rsidP="0017672E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D53293" w:rsidRDefault="00D53293" w:rsidP="0017672E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D53293" w:rsidRPr="00C71E1F" w:rsidRDefault="00D53293" w:rsidP="0017672E">
            <w:pPr>
              <w:ind w:left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ОСНОВНАЯ ЧАСТЬ</w:t>
            </w:r>
          </w:p>
          <w:p w:rsidR="00D53293" w:rsidRPr="00C71E1F" w:rsidRDefault="00D53293" w:rsidP="0017672E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D53293" w:rsidRDefault="00D53293" w:rsidP="0017672E">
            <w:pPr>
              <w:ind w:left="567"/>
              <w:jc w:val="center"/>
              <w:rPr>
                <w:b/>
                <w:bCs/>
                <w:i/>
                <w:sz w:val="36"/>
              </w:rPr>
            </w:pPr>
          </w:p>
          <w:p w:rsidR="00D53293" w:rsidRPr="0019541B" w:rsidRDefault="00D53293" w:rsidP="0017672E">
            <w:pPr>
              <w:ind w:left="567"/>
              <w:jc w:val="center"/>
              <w:rPr>
                <w:b/>
                <w:bCs/>
                <w:i/>
                <w:sz w:val="36"/>
              </w:rPr>
            </w:pPr>
          </w:p>
        </w:tc>
      </w:tr>
    </w:tbl>
    <w:p w:rsidR="00D53293" w:rsidRPr="005046DB" w:rsidRDefault="00D53293" w:rsidP="00D53293">
      <w:pPr>
        <w:jc w:val="center"/>
        <w:rPr>
          <w:sz w:val="28"/>
          <w:szCs w:val="28"/>
        </w:rPr>
      </w:pPr>
    </w:p>
    <w:p w:rsidR="00D53293" w:rsidRDefault="00D53293" w:rsidP="00D53293">
      <w:pPr>
        <w:jc w:val="center"/>
        <w:rPr>
          <w:b/>
          <w:sz w:val="32"/>
        </w:rPr>
      </w:pPr>
      <w:r w:rsidRPr="00A73516">
        <w:rPr>
          <w:b/>
          <w:sz w:val="32"/>
        </w:rPr>
        <w:t>Книга 1. Рас</w:t>
      </w:r>
      <w:r>
        <w:rPr>
          <w:b/>
          <w:sz w:val="32"/>
        </w:rPr>
        <w:t>четные показатели минимально до</w:t>
      </w:r>
      <w:r w:rsidRPr="00A73516">
        <w:rPr>
          <w:b/>
          <w:sz w:val="32"/>
        </w:rPr>
        <w:t>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</w:t>
      </w:r>
      <w:r>
        <w:rPr>
          <w:b/>
          <w:sz w:val="32"/>
        </w:rPr>
        <w:t xml:space="preserve"> доступности таких объектов </w:t>
      </w:r>
      <w:proofErr w:type="gramStart"/>
      <w:r>
        <w:rPr>
          <w:b/>
          <w:sz w:val="32"/>
        </w:rPr>
        <w:t>для</w:t>
      </w:r>
      <w:proofErr w:type="gramEnd"/>
    </w:p>
    <w:p w:rsidR="00D53293" w:rsidRPr="00D7285D" w:rsidRDefault="00D53293" w:rsidP="00D53293">
      <w:pPr>
        <w:jc w:val="center"/>
        <w:rPr>
          <w:b/>
          <w:sz w:val="32"/>
          <w:szCs w:val="32"/>
        </w:rPr>
      </w:pPr>
      <w:r w:rsidRPr="00A73516">
        <w:rPr>
          <w:b/>
          <w:sz w:val="32"/>
        </w:rPr>
        <w:t>населения муниципального образования</w:t>
      </w:r>
    </w:p>
    <w:p w:rsidR="00A3717F" w:rsidRDefault="00A3717F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Default="00D53293"/>
    <w:p w:rsidR="00D53293" w:rsidRPr="00B3072D" w:rsidRDefault="00D53293" w:rsidP="00D53293">
      <w:pPr>
        <w:jc w:val="center"/>
        <w:rPr>
          <w:b/>
        </w:rPr>
      </w:pPr>
      <w:r w:rsidRPr="00B3072D">
        <w:rPr>
          <w:b/>
        </w:rPr>
        <w:t>2022</w:t>
      </w:r>
    </w:p>
    <w:p w:rsidR="00D53293" w:rsidRDefault="00D53293"/>
    <w:p w:rsidR="00D53293" w:rsidRDefault="00D53293"/>
    <w:p w:rsidR="00D53293" w:rsidRPr="00D53293" w:rsidRDefault="00D53293" w:rsidP="00D53293">
      <w:pPr>
        <w:widowControl w:val="0"/>
        <w:spacing w:before="240" w:after="240" w:line="360" w:lineRule="auto"/>
        <w:ind w:firstLine="709"/>
        <w:jc w:val="both"/>
        <w:rPr>
          <w:b/>
          <w:bCs/>
          <w:sz w:val="20"/>
          <w:szCs w:val="20"/>
          <w:lang w:val="x-none" w:eastAsia="x-none"/>
        </w:rPr>
      </w:pPr>
      <w:r w:rsidRPr="00D53293">
        <w:rPr>
          <w:b/>
          <w:bCs/>
          <w:sz w:val="20"/>
          <w:szCs w:val="20"/>
          <w:lang w:eastAsia="x-none"/>
        </w:rPr>
        <w:t>Р</w:t>
      </w:r>
      <w:proofErr w:type="spellStart"/>
      <w:r w:rsidRPr="00D53293">
        <w:rPr>
          <w:b/>
          <w:bCs/>
          <w:sz w:val="20"/>
          <w:szCs w:val="20"/>
          <w:lang w:val="x-none" w:eastAsia="x-none"/>
        </w:rPr>
        <w:t>аздел</w:t>
      </w:r>
      <w:proofErr w:type="spellEnd"/>
      <w:r w:rsidRPr="00D53293">
        <w:rPr>
          <w:b/>
          <w:bCs/>
          <w:sz w:val="20"/>
          <w:szCs w:val="20"/>
          <w:lang w:val="x-none" w:eastAsia="x-none"/>
        </w:rPr>
        <w:t xml:space="preserve"> 1. Расчетные показатели местных нормативов градостроительного проектирования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24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 xml:space="preserve">1.1 </w:t>
      </w:r>
      <w:r w:rsidRPr="00D53293">
        <w:rPr>
          <w:b/>
          <w:bCs/>
          <w:sz w:val="20"/>
          <w:szCs w:val="20"/>
        </w:rPr>
        <w:t>Муниципальный жилой фонд</w:t>
      </w:r>
    </w:p>
    <w:p w:rsidR="00D53293" w:rsidRPr="00B3072D" w:rsidRDefault="00D53293" w:rsidP="00D53293">
      <w:pPr>
        <w:widowControl w:val="0"/>
        <w:ind w:firstLine="709"/>
        <w:jc w:val="both"/>
        <w:rPr>
          <w:sz w:val="18"/>
          <w:szCs w:val="18"/>
          <w:lang w:eastAsia="x-none"/>
        </w:rPr>
      </w:pPr>
      <w:r w:rsidRPr="00B3072D">
        <w:rPr>
          <w:sz w:val="18"/>
          <w:szCs w:val="18"/>
          <w:lang w:val="x-none" w:eastAsia="x-none"/>
        </w:rPr>
        <w:t>Минимальная обеспеченность населения жилыми помещениями принимается в размере</w:t>
      </w:r>
      <w:r w:rsidRPr="00B3072D">
        <w:rPr>
          <w:sz w:val="18"/>
          <w:szCs w:val="18"/>
          <w:lang w:eastAsia="x-none"/>
        </w:rPr>
        <w:t xml:space="preserve"> </w:t>
      </w:r>
      <w:r w:rsidRPr="00B3072D">
        <w:rPr>
          <w:sz w:val="18"/>
          <w:szCs w:val="18"/>
          <w:lang w:val="x-none" w:eastAsia="x-none"/>
        </w:rPr>
        <w:t>1</w:t>
      </w:r>
      <w:r w:rsidRPr="00B3072D">
        <w:rPr>
          <w:sz w:val="18"/>
          <w:szCs w:val="18"/>
          <w:lang w:eastAsia="x-none"/>
        </w:rPr>
        <w:t>4</w:t>
      </w:r>
      <w:r w:rsidRPr="00B3072D">
        <w:rPr>
          <w:sz w:val="18"/>
          <w:szCs w:val="18"/>
          <w:lang w:val="x-none" w:eastAsia="x-none"/>
        </w:rPr>
        <w:t xml:space="preserve"> м</w:t>
      </w:r>
      <w:r w:rsidRPr="00B3072D">
        <w:rPr>
          <w:sz w:val="18"/>
          <w:szCs w:val="18"/>
          <w:vertAlign w:val="superscript"/>
          <w:lang w:val="x-none" w:eastAsia="x-none"/>
        </w:rPr>
        <w:t>2</w:t>
      </w:r>
      <w:r w:rsidRPr="00B3072D">
        <w:rPr>
          <w:sz w:val="18"/>
          <w:szCs w:val="18"/>
          <w:lang w:val="x-none" w:eastAsia="x-none"/>
        </w:rPr>
        <w:t xml:space="preserve"> общей площади на одного человека для жилых помещений, предоставляемых по договору социального найма жилого</w:t>
      </w:r>
      <w:r w:rsidRPr="00B3072D">
        <w:rPr>
          <w:sz w:val="18"/>
          <w:szCs w:val="18"/>
          <w:lang w:eastAsia="x-none"/>
        </w:rPr>
        <w:t>.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Специализированный жилой фонд предоставляется в размере:</w:t>
      </w:r>
    </w:p>
    <w:p w:rsidR="00D53293" w:rsidRPr="00B3072D" w:rsidRDefault="00D53293" w:rsidP="00D532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для служебных жилых помещений – не менее 15,0 м</w:t>
      </w:r>
      <w:proofErr w:type="gramStart"/>
      <w:r w:rsidRPr="00B3072D">
        <w:rPr>
          <w:sz w:val="18"/>
          <w:szCs w:val="18"/>
          <w:vertAlign w:val="superscript"/>
        </w:rPr>
        <w:t>2</w:t>
      </w:r>
      <w:proofErr w:type="gramEnd"/>
      <w:r w:rsidRPr="00B3072D">
        <w:rPr>
          <w:sz w:val="18"/>
          <w:szCs w:val="18"/>
        </w:rPr>
        <w:t xml:space="preserve"> общей площади на 1 человека,</w:t>
      </w:r>
    </w:p>
    <w:p w:rsidR="00D53293" w:rsidRPr="00B3072D" w:rsidRDefault="00D53293" w:rsidP="00D532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для жилых помещений в общежитиях – не менее 6,0 м</w:t>
      </w:r>
      <w:proofErr w:type="gramStart"/>
      <w:r w:rsidRPr="00B3072D">
        <w:rPr>
          <w:sz w:val="18"/>
          <w:szCs w:val="18"/>
          <w:vertAlign w:val="superscript"/>
        </w:rPr>
        <w:t>2</w:t>
      </w:r>
      <w:proofErr w:type="gramEnd"/>
      <w:r w:rsidRPr="00B3072D">
        <w:rPr>
          <w:sz w:val="18"/>
          <w:szCs w:val="18"/>
        </w:rPr>
        <w:t xml:space="preserve"> общей площади на 1 человека,</w:t>
      </w:r>
    </w:p>
    <w:p w:rsidR="00D53293" w:rsidRPr="00B3072D" w:rsidRDefault="00D53293" w:rsidP="00D532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для жилых помещений маневренного фонда – не менее 6,0 м</w:t>
      </w:r>
      <w:proofErr w:type="gramStart"/>
      <w:r w:rsidRPr="00B3072D">
        <w:rPr>
          <w:sz w:val="18"/>
          <w:szCs w:val="18"/>
          <w:vertAlign w:val="superscript"/>
        </w:rPr>
        <w:t>2</w:t>
      </w:r>
      <w:proofErr w:type="gramEnd"/>
      <w:r w:rsidRPr="00B3072D">
        <w:rPr>
          <w:sz w:val="18"/>
          <w:szCs w:val="18"/>
        </w:rPr>
        <w:t xml:space="preserve"> общей площади на 1 человека.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1.2 Учреждения и предприятия обслуживания</w:t>
      </w:r>
    </w:p>
    <w:p w:rsidR="00D53293" w:rsidRPr="00D53293" w:rsidRDefault="00D53293" w:rsidP="00D53293">
      <w:pPr>
        <w:widowControl w:val="0"/>
        <w:spacing w:before="120" w:after="120"/>
        <w:ind w:firstLine="709"/>
        <w:jc w:val="both"/>
        <w:rPr>
          <w:b/>
          <w:i/>
          <w:sz w:val="20"/>
          <w:szCs w:val="20"/>
          <w:lang w:val="x-none" w:eastAsia="x-none"/>
        </w:rPr>
      </w:pPr>
      <w:r w:rsidRPr="00D53293">
        <w:rPr>
          <w:b/>
          <w:i/>
          <w:sz w:val="20"/>
          <w:szCs w:val="20"/>
          <w:lang w:val="x-none" w:eastAsia="x-none"/>
        </w:rPr>
        <w:t>1.2.1 Объекты физкультуры и массового спорта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B3072D">
        <w:rPr>
          <w:sz w:val="18"/>
          <w:szCs w:val="18"/>
        </w:rPr>
        <w:t xml:space="preserve">Минимально допустимый уровень обеспеченности населения муниципального образования «Ользоны» объектами физической культуры и массового спорта принимается по таблице 1.1 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Таблица 1.1 – Минимально допустимый уровень обеспеченности населения объектами физкультуры и массового спорта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4303"/>
        <w:gridCol w:w="2268"/>
      </w:tblGrid>
      <w:tr w:rsidR="00D53293" w:rsidRPr="00B3072D" w:rsidTr="0017672E">
        <w:trPr>
          <w:cantSplit/>
          <w:trHeight w:val="421"/>
          <w:tblHeader/>
          <w:jc w:val="center"/>
        </w:trPr>
        <w:tc>
          <w:tcPr>
            <w:tcW w:w="3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Показатель</w:t>
            </w:r>
          </w:p>
        </w:tc>
      </w:tr>
      <w:tr w:rsidR="00D53293" w:rsidRPr="00B3072D" w:rsidTr="0017672E">
        <w:trPr>
          <w:cantSplit/>
          <w:trHeight w:val="160"/>
          <w:tblHeader/>
          <w:jc w:val="center"/>
        </w:trPr>
        <w:tc>
          <w:tcPr>
            <w:tcW w:w="3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3</w:t>
            </w:r>
          </w:p>
        </w:tc>
      </w:tr>
      <w:tr w:rsidR="00D53293" w:rsidRPr="00B3072D" w:rsidTr="0017672E">
        <w:trPr>
          <w:cantSplit/>
          <w:trHeight w:val="188"/>
          <w:jc w:val="center"/>
        </w:trPr>
        <w:tc>
          <w:tcPr>
            <w:tcW w:w="3068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Спортивные залы</w:t>
            </w:r>
          </w:p>
        </w:tc>
        <w:tc>
          <w:tcPr>
            <w:tcW w:w="4303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м</w:t>
            </w:r>
            <w:proofErr w:type="gramStart"/>
            <w:r w:rsidRPr="00B3072D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  <w:r w:rsidRPr="00B3072D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B3072D">
              <w:rPr>
                <w:bCs/>
                <w:sz w:val="18"/>
                <w:szCs w:val="18"/>
              </w:rPr>
              <w:t>площади пола на 1 тыс. чел.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73,5</w:t>
            </w:r>
          </w:p>
        </w:tc>
      </w:tr>
      <w:tr w:rsidR="00D53293" w:rsidRPr="00B3072D" w:rsidTr="0017672E">
        <w:trPr>
          <w:cantSplit/>
          <w:trHeight w:val="270"/>
          <w:jc w:val="center"/>
        </w:trPr>
        <w:tc>
          <w:tcPr>
            <w:tcW w:w="3068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Плавательные бассейны</w:t>
            </w:r>
          </w:p>
        </w:tc>
        <w:tc>
          <w:tcPr>
            <w:tcW w:w="4303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м</w:t>
            </w:r>
            <w:proofErr w:type="gramStart"/>
            <w:r w:rsidRPr="00B3072D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  <w:r w:rsidRPr="00B3072D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B3072D">
              <w:rPr>
                <w:bCs/>
                <w:sz w:val="18"/>
                <w:szCs w:val="18"/>
              </w:rPr>
              <w:t>зеркала воды на 1 тыс. чел.</w:t>
            </w:r>
          </w:p>
        </w:tc>
        <w:tc>
          <w:tcPr>
            <w:tcW w:w="2268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23,6</w:t>
            </w:r>
          </w:p>
        </w:tc>
      </w:tr>
      <w:tr w:rsidR="00D53293" w:rsidRPr="00B3072D" w:rsidTr="0017672E">
        <w:trPr>
          <w:cantSplit/>
          <w:trHeight w:val="275"/>
          <w:jc w:val="center"/>
        </w:trPr>
        <w:tc>
          <w:tcPr>
            <w:tcW w:w="3068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Плоскостные сооружения</w:t>
            </w:r>
          </w:p>
        </w:tc>
        <w:tc>
          <w:tcPr>
            <w:tcW w:w="4303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м</w:t>
            </w:r>
            <w:proofErr w:type="gramStart"/>
            <w:r w:rsidRPr="00B3072D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  <w:r w:rsidRPr="00B3072D">
              <w:rPr>
                <w:bCs/>
                <w:sz w:val="18"/>
                <w:szCs w:val="18"/>
              </w:rPr>
              <w:t xml:space="preserve"> плоскостных сооружений на 1 тыс. чел.</w:t>
            </w:r>
          </w:p>
        </w:tc>
        <w:tc>
          <w:tcPr>
            <w:tcW w:w="2268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2047,5</w:t>
            </w:r>
          </w:p>
        </w:tc>
      </w:tr>
    </w:tbl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18"/>
          <w:szCs w:val="18"/>
        </w:rPr>
      </w:pPr>
      <w:r w:rsidRPr="00B3072D">
        <w:rPr>
          <w:sz w:val="18"/>
          <w:szCs w:val="18"/>
        </w:rPr>
        <w:t>Максимально допустимый уровень доступности объектов физической культуры и массового спорта для населения принимается по таблице 1.2.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Таблица 1.2 – Максимально допустимый уровень доступности объектов физкультуры и массового спорта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0"/>
        <w:gridCol w:w="2650"/>
        <w:gridCol w:w="2409"/>
      </w:tblGrid>
      <w:tr w:rsidR="00D53293" w:rsidRPr="00B3072D" w:rsidTr="0017672E">
        <w:trPr>
          <w:cantSplit/>
          <w:trHeight w:val="307"/>
          <w:jc w:val="center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Наименование объектов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Единица</w:t>
            </w:r>
          </w:p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измерения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Показатель</w:t>
            </w:r>
          </w:p>
        </w:tc>
      </w:tr>
      <w:tr w:rsidR="00D53293" w:rsidRPr="00B3072D" w:rsidTr="0017672E">
        <w:trPr>
          <w:cantSplit/>
          <w:trHeight w:val="73"/>
          <w:jc w:val="center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3</w:t>
            </w:r>
          </w:p>
        </w:tc>
      </w:tr>
      <w:tr w:rsidR="00D53293" w:rsidRPr="00B3072D" w:rsidTr="0017672E">
        <w:trPr>
          <w:cantSplit/>
          <w:trHeight w:val="245"/>
          <w:jc w:val="center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Спортивные залы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мин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30*</w:t>
            </w:r>
          </w:p>
        </w:tc>
      </w:tr>
      <w:tr w:rsidR="00D53293" w:rsidRPr="00B3072D" w:rsidTr="0017672E">
        <w:trPr>
          <w:cantSplit/>
          <w:trHeight w:val="112"/>
          <w:jc w:val="center"/>
        </w:trPr>
        <w:tc>
          <w:tcPr>
            <w:tcW w:w="2694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Плавательные бассейны</w:t>
            </w:r>
          </w:p>
        </w:tc>
        <w:tc>
          <w:tcPr>
            <w:tcW w:w="1559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час</w:t>
            </w:r>
          </w:p>
        </w:tc>
        <w:tc>
          <w:tcPr>
            <w:tcW w:w="1417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1*</w:t>
            </w:r>
          </w:p>
        </w:tc>
      </w:tr>
      <w:tr w:rsidR="00D53293" w:rsidRPr="00B3072D" w:rsidTr="0017672E">
        <w:trPr>
          <w:cantSplit/>
          <w:trHeight w:val="145"/>
          <w:jc w:val="center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Плоскостные сооружения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1500</w:t>
            </w:r>
          </w:p>
        </w:tc>
      </w:tr>
    </w:tbl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B3072D">
        <w:rPr>
          <w:i/>
          <w:sz w:val="18"/>
          <w:szCs w:val="18"/>
        </w:rPr>
        <w:t xml:space="preserve">Примечание: * </w:t>
      </w:r>
      <w:r w:rsidRPr="00B3072D">
        <w:rPr>
          <w:b/>
          <w:i/>
          <w:sz w:val="18"/>
          <w:szCs w:val="18"/>
        </w:rPr>
        <w:t xml:space="preserve">– </w:t>
      </w:r>
      <w:r w:rsidRPr="00B3072D">
        <w:rPr>
          <w:i/>
          <w:sz w:val="18"/>
          <w:szCs w:val="18"/>
        </w:rPr>
        <w:t>транспортная доступность.</w:t>
      </w:r>
    </w:p>
    <w:p w:rsidR="00D53293" w:rsidRPr="00D53293" w:rsidRDefault="00D53293" w:rsidP="00D53293">
      <w:pPr>
        <w:spacing w:before="120" w:after="120"/>
        <w:ind w:firstLine="709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D53293">
        <w:rPr>
          <w:rFonts w:eastAsia="Calibri"/>
          <w:b/>
          <w:i/>
          <w:sz w:val="20"/>
          <w:szCs w:val="20"/>
          <w:lang w:eastAsia="en-US"/>
        </w:rPr>
        <w:t>1.2.2 Зоны массового кратковременного отдыха</w:t>
      </w:r>
    </w:p>
    <w:p w:rsidR="00D53293" w:rsidRPr="00B3072D" w:rsidRDefault="00D53293" w:rsidP="00D53293">
      <w:pPr>
        <w:ind w:firstLine="709"/>
        <w:jc w:val="both"/>
        <w:outlineLvl w:val="0"/>
        <w:rPr>
          <w:rFonts w:eastAsia="Calibri"/>
          <w:b/>
          <w:bCs/>
          <w:sz w:val="18"/>
          <w:szCs w:val="18"/>
          <w:lang w:eastAsia="en-US"/>
        </w:rPr>
      </w:pPr>
      <w:r w:rsidRPr="00B3072D">
        <w:rPr>
          <w:rFonts w:eastAsia="Calibri"/>
          <w:sz w:val="18"/>
          <w:szCs w:val="18"/>
        </w:rPr>
        <w:t>Минимально допустимый уровень обеспеченности населения зонами массового кратковременного отдыха принимается по таблице 1.3.</w:t>
      </w:r>
    </w:p>
    <w:p w:rsidR="00D53293" w:rsidRPr="00D53293" w:rsidRDefault="00D53293" w:rsidP="00D53293">
      <w:pPr>
        <w:spacing w:before="120" w:after="120"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 xml:space="preserve">Таблица 1.3 – </w:t>
      </w:r>
      <w:r w:rsidRPr="00D53293">
        <w:rPr>
          <w:rFonts w:eastAsia="Calibri"/>
          <w:b/>
          <w:sz w:val="20"/>
          <w:szCs w:val="20"/>
        </w:rPr>
        <w:t>Минимально допустимый уровень обеспеченности населения зонами массового отдыха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3"/>
        <w:gridCol w:w="2408"/>
        <w:gridCol w:w="1808"/>
      </w:tblGrid>
      <w:tr w:rsidR="00D53293" w:rsidRPr="00B3072D" w:rsidTr="0017672E">
        <w:trPr>
          <w:cantSplit/>
          <w:trHeight w:val="466"/>
          <w:jc w:val="center"/>
        </w:trPr>
        <w:tc>
          <w:tcPr>
            <w:tcW w:w="3828" w:type="dxa"/>
            <w:tcBorders>
              <w:bottom w:val="single" w:sz="12" w:space="0" w:color="auto"/>
            </w:tcBorders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Наименование объектов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Единица</w:t>
            </w:r>
          </w:p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измерения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Показатель</w:t>
            </w:r>
          </w:p>
        </w:tc>
      </w:tr>
      <w:tr w:rsidR="00D53293" w:rsidRPr="00B3072D" w:rsidTr="0017672E">
        <w:trPr>
          <w:cantSplit/>
          <w:trHeight w:val="176"/>
          <w:jc w:val="center"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53293" w:rsidRPr="00B3072D" w:rsidTr="0017672E">
        <w:trPr>
          <w:cantSplit/>
          <w:trHeight w:val="262"/>
          <w:jc w:val="center"/>
        </w:trPr>
        <w:tc>
          <w:tcPr>
            <w:tcW w:w="6804" w:type="dxa"/>
            <w:gridSpan w:val="3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Зона массового кратковременного отдыха, в том числе:</w:t>
            </w:r>
          </w:p>
        </w:tc>
      </w:tr>
      <w:tr w:rsidR="00D53293" w:rsidRPr="00B3072D" w:rsidTr="0017672E">
        <w:trPr>
          <w:cantSplit/>
          <w:trHeight w:val="360"/>
          <w:jc w:val="center"/>
        </w:trPr>
        <w:tc>
          <w:tcPr>
            <w:tcW w:w="3828" w:type="dxa"/>
            <w:vAlign w:val="center"/>
          </w:tcPr>
          <w:p w:rsidR="00D53293" w:rsidRPr="00B3072D" w:rsidRDefault="00D53293" w:rsidP="00D53293">
            <w:pPr>
              <w:ind w:left="176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интенсивно используемая часть, в том числе:</w:t>
            </w:r>
          </w:p>
        </w:tc>
        <w:tc>
          <w:tcPr>
            <w:tcW w:w="1700" w:type="dxa"/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B3072D">
              <w:rPr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B3072D">
              <w:rPr>
                <w:bCs/>
                <w:color w:val="000000"/>
                <w:sz w:val="18"/>
                <w:szCs w:val="18"/>
              </w:rPr>
              <w:t>/посетителя</w:t>
            </w:r>
          </w:p>
        </w:tc>
        <w:tc>
          <w:tcPr>
            <w:tcW w:w="1276" w:type="dxa"/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53293" w:rsidRPr="00B3072D" w:rsidTr="0017672E">
        <w:trPr>
          <w:cantSplit/>
          <w:trHeight w:val="255"/>
          <w:jc w:val="center"/>
        </w:trPr>
        <w:tc>
          <w:tcPr>
            <w:tcW w:w="3828" w:type="dxa"/>
            <w:vAlign w:val="center"/>
          </w:tcPr>
          <w:p w:rsidR="00D53293" w:rsidRPr="00B3072D" w:rsidRDefault="00D53293" w:rsidP="00D53293">
            <w:pPr>
              <w:ind w:left="459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пляжи</w:t>
            </w:r>
          </w:p>
        </w:tc>
        <w:tc>
          <w:tcPr>
            <w:tcW w:w="1700" w:type="dxa"/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B3072D">
              <w:rPr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B3072D">
              <w:rPr>
                <w:bCs/>
                <w:color w:val="000000"/>
                <w:sz w:val="18"/>
                <w:szCs w:val="18"/>
              </w:rPr>
              <w:t>/посетителя</w:t>
            </w:r>
          </w:p>
        </w:tc>
        <w:tc>
          <w:tcPr>
            <w:tcW w:w="1276" w:type="dxa"/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53293" w:rsidRPr="00B3072D" w:rsidTr="0017672E">
        <w:trPr>
          <w:cantSplit/>
          <w:trHeight w:val="302"/>
          <w:jc w:val="center"/>
        </w:trPr>
        <w:tc>
          <w:tcPr>
            <w:tcW w:w="3828" w:type="dxa"/>
            <w:vAlign w:val="center"/>
          </w:tcPr>
          <w:p w:rsidR="00D53293" w:rsidRPr="00B3072D" w:rsidRDefault="00D53293" w:rsidP="00D53293">
            <w:pPr>
              <w:ind w:left="176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неинтенсивно используемая часть</w:t>
            </w:r>
          </w:p>
        </w:tc>
        <w:tc>
          <w:tcPr>
            <w:tcW w:w="1700" w:type="dxa"/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B3072D">
              <w:rPr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B3072D">
              <w:rPr>
                <w:bCs/>
                <w:color w:val="000000"/>
                <w:sz w:val="18"/>
                <w:szCs w:val="18"/>
              </w:rPr>
              <w:t>/посетителя</w:t>
            </w:r>
          </w:p>
        </w:tc>
        <w:tc>
          <w:tcPr>
            <w:tcW w:w="1276" w:type="dxa"/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500 – 1000</w:t>
            </w:r>
          </w:p>
        </w:tc>
      </w:tr>
    </w:tbl>
    <w:p w:rsidR="00D53293" w:rsidRPr="00B3072D" w:rsidRDefault="00D53293" w:rsidP="00D53293">
      <w:pPr>
        <w:ind w:firstLine="709"/>
        <w:jc w:val="both"/>
        <w:outlineLvl w:val="0"/>
        <w:rPr>
          <w:rFonts w:eastAsia="Calibri"/>
          <w:b/>
          <w:bCs/>
          <w:sz w:val="18"/>
          <w:szCs w:val="18"/>
          <w:lang w:eastAsia="en-US"/>
        </w:rPr>
      </w:pPr>
      <w:r w:rsidRPr="00B3072D">
        <w:rPr>
          <w:rFonts w:eastAsia="Calibri"/>
          <w:sz w:val="18"/>
          <w:szCs w:val="18"/>
        </w:rPr>
        <w:t>Максимально допустимый уровень доступности для населения зон массового кратковременного отдыха принимается по таблице 1.4.</w:t>
      </w:r>
    </w:p>
    <w:p w:rsidR="00D53293" w:rsidRDefault="00D53293" w:rsidP="00D53293">
      <w:pPr>
        <w:spacing w:before="120" w:after="120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D53293" w:rsidRPr="00D53293" w:rsidRDefault="00D53293" w:rsidP="00D53293">
      <w:pPr>
        <w:spacing w:before="120" w:after="120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 xml:space="preserve">Таблица 1.4 – </w:t>
      </w:r>
      <w:r w:rsidRPr="00D53293">
        <w:rPr>
          <w:rFonts w:eastAsia="Calibri"/>
          <w:b/>
          <w:sz w:val="20"/>
          <w:szCs w:val="20"/>
        </w:rPr>
        <w:t>Максимально допустимый уровень доступности для населения зон массового кратковременного отдыха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799"/>
        <w:gridCol w:w="2304"/>
      </w:tblGrid>
      <w:tr w:rsidR="00D53293" w:rsidRPr="00D53293" w:rsidTr="0017672E">
        <w:trPr>
          <w:cantSplit/>
          <w:trHeight w:val="140"/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Наименование объектов</w:t>
            </w: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304" w:type="dxa"/>
            <w:tcBorders>
              <w:bottom w:val="single" w:sz="12" w:space="0" w:color="auto"/>
            </w:tcBorders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 xml:space="preserve">Показатель </w:t>
            </w:r>
          </w:p>
        </w:tc>
      </w:tr>
      <w:tr w:rsidR="00D53293" w:rsidRPr="00D53293" w:rsidTr="0017672E">
        <w:trPr>
          <w:cantSplit/>
          <w:trHeight w:val="153"/>
          <w:jc w:val="center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53293" w:rsidRPr="00D53293" w:rsidTr="0017672E">
        <w:trPr>
          <w:cantSplit/>
          <w:trHeight w:val="50"/>
          <w:jc w:val="center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Зона массового кратковременного отдыха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B3072D" w:rsidRDefault="00B3072D" w:rsidP="00D53293">
      <w:pPr>
        <w:widowControl w:val="0"/>
        <w:spacing w:before="120" w:after="120"/>
        <w:ind w:firstLine="709"/>
        <w:jc w:val="both"/>
        <w:rPr>
          <w:b/>
          <w:i/>
          <w:sz w:val="20"/>
          <w:szCs w:val="20"/>
          <w:lang w:eastAsia="x-none"/>
        </w:rPr>
      </w:pPr>
    </w:p>
    <w:p w:rsidR="00B3072D" w:rsidRDefault="00B3072D" w:rsidP="00D53293">
      <w:pPr>
        <w:widowControl w:val="0"/>
        <w:spacing w:before="120" w:after="120"/>
        <w:ind w:firstLine="709"/>
        <w:jc w:val="both"/>
        <w:rPr>
          <w:b/>
          <w:i/>
          <w:sz w:val="20"/>
          <w:szCs w:val="20"/>
          <w:lang w:eastAsia="x-none"/>
        </w:rPr>
      </w:pPr>
    </w:p>
    <w:p w:rsidR="00D53293" w:rsidRPr="00D53293" w:rsidRDefault="00D53293" w:rsidP="00D53293">
      <w:pPr>
        <w:widowControl w:val="0"/>
        <w:spacing w:before="120" w:after="120"/>
        <w:ind w:firstLine="709"/>
        <w:jc w:val="both"/>
        <w:rPr>
          <w:b/>
          <w:sz w:val="20"/>
          <w:szCs w:val="20"/>
          <w:lang w:val="x-none" w:eastAsia="x-none"/>
        </w:rPr>
      </w:pPr>
      <w:r w:rsidRPr="00D53293">
        <w:rPr>
          <w:b/>
          <w:i/>
          <w:sz w:val="20"/>
          <w:szCs w:val="20"/>
          <w:lang w:val="x-none" w:eastAsia="x-none"/>
        </w:rPr>
        <w:t>1.2.3 Объекты культуры и досуга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B3072D">
        <w:rPr>
          <w:sz w:val="18"/>
          <w:szCs w:val="18"/>
        </w:rPr>
        <w:t>Минимально допустимый уровень обеспеченности населения муниципального образования «Ользоны» объектами культуры и досуга принимается по таблице 1.5.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 xml:space="preserve">Таблица 1.5 – Минимально допустимый уровень обеспеченности населения объектами культуры и досуга </w:t>
      </w:r>
    </w:p>
    <w:tbl>
      <w:tblPr>
        <w:tblW w:w="9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703"/>
        <w:gridCol w:w="2511"/>
      </w:tblGrid>
      <w:tr w:rsidR="00D53293" w:rsidRPr="00B3072D" w:rsidTr="0017672E">
        <w:trPr>
          <w:cantSplit/>
          <w:trHeight w:val="466"/>
          <w:tblHeader/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Наименование</w:t>
            </w:r>
          </w:p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объектов</w:t>
            </w:r>
          </w:p>
        </w:tc>
        <w:tc>
          <w:tcPr>
            <w:tcW w:w="3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Единица</w:t>
            </w:r>
          </w:p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измерения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Показатель</w:t>
            </w:r>
          </w:p>
        </w:tc>
      </w:tr>
      <w:tr w:rsidR="00D53293" w:rsidRPr="00B3072D" w:rsidTr="0017672E">
        <w:trPr>
          <w:cantSplit/>
          <w:trHeight w:val="166"/>
          <w:tblHeader/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3</w:t>
            </w:r>
          </w:p>
        </w:tc>
      </w:tr>
      <w:tr w:rsidR="00D53293" w:rsidRPr="00B3072D" w:rsidTr="0017672E">
        <w:trPr>
          <w:cantSplit/>
          <w:trHeight w:val="300"/>
          <w:jc w:val="center"/>
        </w:trPr>
        <w:tc>
          <w:tcPr>
            <w:tcW w:w="3402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Муниципальные архивы</w:t>
            </w:r>
          </w:p>
        </w:tc>
        <w:tc>
          <w:tcPr>
            <w:tcW w:w="3703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2511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</w:tr>
      <w:tr w:rsidR="00D53293" w:rsidRPr="00B3072D" w:rsidTr="0017672E">
        <w:trPr>
          <w:cantSplit/>
          <w:trHeight w:val="195"/>
          <w:jc w:val="center"/>
        </w:trPr>
        <w:tc>
          <w:tcPr>
            <w:tcW w:w="9616" w:type="dxa"/>
            <w:gridSpan w:val="3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rFonts w:eastAsia="Calibri"/>
                <w:bCs/>
                <w:sz w:val="18"/>
                <w:szCs w:val="18"/>
                <w:lang w:eastAsia="en-US"/>
              </w:rPr>
              <w:t>Сельские населенные пункты и их группы с численностью населения 0,2 – 1 тыс. чел.</w:t>
            </w:r>
          </w:p>
        </w:tc>
      </w:tr>
      <w:tr w:rsidR="00D53293" w:rsidRPr="00B3072D" w:rsidTr="0017672E">
        <w:trPr>
          <w:cantSplit/>
          <w:trHeight w:val="299"/>
          <w:jc w:val="center"/>
        </w:trPr>
        <w:tc>
          <w:tcPr>
            <w:tcW w:w="3402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Муниципальные библиотеки</w:t>
            </w:r>
          </w:p>
        </w:tc>
        <w:tc>
          <w:tcPr>
            <w:tcW w:w="3703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тыс. единиц хранения на 1 тыс. чел.</w:t>
            </w:r>
          </w:p>
        </w:tc>
        <w:tc>
          <w:tcPr>
            <w:tcW w:w="2511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7,5</w:t>
            </w:r>
          </w:p>
        </w:tc>
      </w:tr>
      <w:tr w:rsidR="00D53293" w:rsidRPr="00B3072D" w:rsidTr="0017672E">
        <w:trPr>
          <w:cantSplit/>
          <w:trHeight w:val="263"/>
          <w:jc w:val="center"/>
        </w:trPr>
        <w:tc>
          <w:tcPr>
            <w:tcW w:w="3402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3703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 xml:space="preserve">место </w:t>
            </w:r>
            <w:r w:rsidRPr="00B3072D">
              <w:rPr>
                <w:sz w:val="18"/>
                <w:szCs w:val="18"/>
              </w:rPr>
              <w:t>на 1 тыс. чел.</w:t>
            </w:r>
          </w:p>
        </w:tc>
        <w:tc>
          <w:tcPr>
            <w:tcW w:w="2511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500-300</w:t>
            </w:r>
          </w:p>
        </w:tc>
      </w:tr>
      <w:tr w:rsidR="00D53293" w:rsidRPr="00B3072D" w:rsidTr="0017672E">
        <w:trPr>
          <w:cantSplit/>
          <w:trHeight w:val="103"/>
          <w:jc w:val="center"/>
        </w:trPr>
        <w:tc>
          <w:tcPr>
            <w:tcW w:w="9616" w:type="dxa"/>
            <w:gridSpan w:val="3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rFonts w:eastAsia="Calibri"/>
                <w:bCs/>
                <w:sz w:val="18"/>
                <w:szCs w:val="18"/>
                <w:lang w:eastAsia="en-US"/>
              </w:rPr>
              <w:t>Сельские населенные пункты и их группы с численностью населения 1 – 2 тыс. чел.</w:t>
            </w:r>
          </w:p>
        </w:tc>
      </w:tr>
      <w:tr w:rsidR="00D53293" w:rsidRPr="00B3072D" w:rsidTr="0017672E">
        <w:trPr>
          <w:cantSplit/>
          <w:trHeight w:val="105"/>
          <w:jc w:val="center"/>
        </w:trPr>
        <w:tc>
          <w:tcPr>
            <w:tcW w:w="3402" w:type="dxa"/>
            <w:vAlign w:val="center"/>
          </w:tcPr>
          <w:p w:rsidR="00D53293" w:rsidRPr="00B3072D" w:rsidRDefault="00D53293" w:rsidP="00D5329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bCs/>
                <w:sz w:val="18"/>
                <w:szCs w:val="18"/>
                <w:lang w:eastAsia="en-US"/>
              </w:rPr>
              <w:t>Муниципальные библиотеки</w:t>
            </w:r>
          </w:p>
        </w:tc>
        <w:tc>
          <w:tcPr>
            <w:tcW w:w="3703" w:type="dxa"/>
            <w:vAlign w:val="center"/>
          </w:tcPr>
          <w:p w:rsidR="00D53293" w:rsidRPr="00B3072D" w:rsidRDefault="00D53293" w:rsidP="00D5329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sz w:val="18"/>
                <w:szCs w:val="18"/>
                <w:lang w:eastAsia="en-US"/>
              </w:rPr>
              <w:t>тыс. единиц хранения на 1 тыс. чел.</w:t>
            </w:r>
          </w:p>
        </w:tc>
        <w:tc>
          <w:tcPr>
            <w:tcW w:w="2511" w:type="dxa"/>
            <w:vAlign w:val="center"/>
          </w:tcPr>
          <w:p w:rsidR="00D53293" w:rsidRPr="00B3072D" w:rsidRDefault="00D53293" w:rsidP="00D53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sz w:val="18"/>
                <w:szCs w:val="18"/>
                <w:lang w:eastAsia="en-US"/>
              </w:rPr>
              <w:t>6-7,5</w:t>
            </w:r>
          </w:p>
        </w:tc>
      </w:tr>
      <w:tr w:rsidR="00D53293" w:rsidRPr="00B3072D" w:rsidTr="0017672E">
        <w:trPr>
          <w:cantSplit/>
          <w:trHeight w:val="135"/>
          <w:jc w:val="center"/>
        </w:trPr>
        <w:tc>
          <w:tcPr>
            <w:tcW w:w="3402" w:type="dxa"/>
            <w:vAlign w:val="center"/>
          </w:tcPr>
          <w:p w:rsidR="00D53293" w:rsidRPr="00B3072D" w:rsidRDefault="00D53293" w:rsidP="00D5329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bCs/>
                <w:sz w:val="18"/>
                <w:szCs w:val="18"/>
                <w:lang w:eastAsia="en-US"/>
              </w:rPr>
              <w:t>Учреждения культурно-досугового типа</w:t>
            </w:r>
          </w:p>
        </w:tc>
        <w:tc>
          <w:tcPr>
            <w:tcW w:w="3703" w:type="dxa"/>
            <w:vAlign w:val="center"/>
          </w:tcPr>
          <w:p w:rsidR="00D53293" w:rsidRPr="00B3072D" w:rsidRDefault="00D53293" w:rsidP="00D5329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место </w:t>
            </w:r>
            <w:r w:rsidRPr="00B3072D">
              <w:rPr>
                <w:rFonts w:eastAsia="Calibri"/>
                <w:sz w:val="18"/>
                <w:szCs w:val="18"/>
                <w:lang w:eastAsia="en-US"/>
              </w:rPr>
              <w:t>на 1 тыс. чел.</w:t>
            </w:r>
          </w:p>
        </w:tc>
        <w:tc>
          <w:tcPr>
            <w:tcW w:w="2511" w:type="dxa"/>
            <w:vAlign w:val="center"/>
          </w:tcPr>
          <w:p w:rsidR="00D53293" w:rsidRPr="00B3072D" w:rsidRDefault="00D53293" w:rsidP="00D532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sz w:val="18"/>
                <w:szCs w:val="18"/>
                <w:lang w:eastAsia="en-US"/>
              </w:rPr>
              <w:t>300-230</w:t>
            </w:r>
          </w:p>
        </w:tc>
      </w:tr>
    </w:tbl>
    <w:p w:rsidR="00D53293" w:rsidRPr="00B3072D" w:rsidRDefault="00D53293" w:rsidP="00D532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i/>
          <w:sz w:val="18"/>
          <w:szCs w:val="18"/>
        </w:rPr>
      </w:pPr>
      <w:r w:rsidRPr="00B3072D">
        <w:rPr>
          <w:i/>
          <w:sz w:val="18"/>
          <w:szCs w:val="18"/>
        </w:rPr>
        <w:t xml:space="preserve">Примечание: </w:t>
      </w:r>
      <w:r w:rsidRPr="00B3072D">
        <w:rPr>
          <w:i/>
          <w:iCs/>
          <w:sz w:val="18"/>
          <w:szCs w:val="18"/>
        </w:rPr>
        <w:t>Меньшие значения вместимости клубов и библиотек следует принимать для больших населенных пунктов.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Максимально допустимый уровень доступности объектов культуры и досуга для населения принимается по таблице 1.6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rPr>
          <w:sz w:val="20"/>
          <w:szCs w:val="20"/>
        </w:rPr>
      </w:pPr>
      <w:r w:rsidRPr="00D53293">
        <w:rPr>
          <w:rFonts w:eastAsia="Calibri"/>
          <w:b/>
          <w:sz w:val="20"/>
          <w:szCs w:val="20"/>
          <w:lang w:eastAsia="en-US"/>
        </w:rPr>
        <w:t xml:space="preserve">Таблица 1.6 – </w:t>
      </w:r>
      <w:r w:rsidRPr="00D53293">
        <w:rPr>
          <w:rFonts w:eastAsia="Calibri"/>
          <w:b/>
          <w:sz w:val="20"/>
          <w:szCs w:val="20"/>
        </w:rPr>
        <w:t>Максимальный уровень доступности для населения объектов культуры и досуга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304"/>
        <w:gridCol w:w="2724"/>
      </w:tblGrid>
      <w:tr w:rsidR="00D53293" w:rsidRPr="00B3072D" w:rsidTr="0017672E">
        <w:trPr>
          <w:cantSplit/>
          <w:trHeight w:val="466"/>
          <w:tblHeader/>
          <w:jc w:val="center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Наименование объектов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Единица</w:t>
            </w:r>
          </w:p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измерения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Показатель</w:t>
            </w:r>
          </w:p>
        </w:tc>
      </w:tr>
      <w:tr w:rsidR="00D53293" w:rsidRPr="00B3072D" w:rsidTr="0017672E">
        <w:trPr>
          <w:cantSplit/>
          <w:trHeight w:val="96"/>
          <w:tblHeader/>
          <w:jc w:val="center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3</w:t>
            </w:r>
          </w:p>
        </w:tc>
      </w:tr>
      <w:tr w:rsidR="00D53293" w:rsidRPr="00B3072D" w:rsidTr="0017672E">
        <w:trPr>
          <w:cantSplit/>
          <w:trHeight w:val="166"/>
          <w:jc w:val="center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Муниципальные архивы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2*</w:t>
            </w:r>
          </w:p>
        </w:tc>
      </w:tr>
      <w:tr w:rsidR="00D53293" w:rsidRPr="00B3072D" w:rsidTr="0017672E">
        <w:trPr>
          <w:cantSplit/>
          <w:trHeight w:val="176"/>
          <w:jc w:val="center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Муниципальные библиотеки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0,5*</w:t>
            </w:r>
          </w:p>
        </w:tc>
      </w:tr>
      <w:tr w:rsidR="00D53293" w:rsidRPr="00B3072D" w:rsidTr="0017672E">
        <w:trPr>
          <w:cantSplit/>
          <w:trHeight w:val="70"/>
          <w:jc w:val="center"/>
        </w:trPr>
        <w:tc>
          <w:tcPr>
            <w:tcW w:w="3119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1559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час</w:t>
            </w:r>
          </w:p>
        </w:tc>
        <w:tc>
          <w:tcPr>
            <w:tcW w:w="1843" w:type="dxa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0,5*</w:t>
            </w:r>
          </w:p>
        </w:tc>
      </w:tr>
    </w:tbl>
    <w:p w:rsidR="00D53293" w:rsidRPr="00B3072D" w:rsidRDefault="00D53293" w:rsidP="00D53293">
      <w:pPr>
        <w:widowControl w:val="0"/>
        <w:spacing w:after="120"/>
        <w:ind w:firstLine="709"/>
        <w:jc w:val="both"/>
        <w:rPr>
          <w:b/>
          <w:i/>
          <w:sz w:val="18"/>
          <w:szCs w:val="18"/>
          <w:lang w:val="x-none" w:eastAsia="x-none"/>
        </w:rPr>
      </w:pPr>
      <w:r w:rsidRPr="00B3072D">
        <w:rPr>
          <w:i/>
          <w:iCs/>
          <w:sz w:val="18"/>
          <w:szCs w:val="18"/>
          <w:lang w:val="x-none" w:eastAsia="x-none"/>
        </w:rPr>
        <w:t>Примечание:</w:t>
      </w:r>
      <w:r w:rsidRPr="00B3072D">
        <w:rPr>
          <w:i/>
          <w:sz w:val="18"/>
          <w:szCs w:val="18"/>
          <w:lang w:val="x-none" w:eastAsia="x-none"/>
        </w:rPr>
        <w:t xml:space="preserve"> * </w:t>
      </w:r>
      <w:r w:rsidRPr="00B3072D">
        <w:rPr>
          <w:b/>
          <w:sz w:val="18"/>
          <w:szCs w:val="18"/>
          <w:lang w:val="x-none" w:eastAsia="x-none"/>
        </w:rPr>
        <w:t xml:space="preserve">– </w:t>
      </w:r>
      <w:r w:rsidRPr="00B3072D">
        <w:rPr>
          <w:i/>
          <w:sz w:val="18"/>
          <w:szCs w:val="18"/>
          <w:lang w:val="x-none" w:eastAsia="x-none"/>
        </w:rPr>
        <w:t>транспортная доступность.</w:t>
      </w:r>
    </w:p>
    <w:p w:rsidR="00D53293" w:rsidRPr="00D53293" w:rsidRDefault="00D53293" w:rsidP="00D53293">
      <w:pPr>
        <w:widowControl w:val="0"/>
        <w:spacing w:before="120" w:after="120"/>
        <w:ind w:firstLine="709"/>
        <w:jc w:val="both"/>
        <w:rPr>
          <w:b/>
          <w:i/>
          <w:sz w:val="20"/>
          <w:szCs w:val="20"/>
          <w:lang w:eastAsia="x-none"/>
        </w:rPr>
      </w:pPr>
    </w:p>
    <w:p w:rsidR="00D53293" w:rsidRPr="00D53293" w:rsidRDefault="00D53293" w:rsidP="00D53293">
      <w:pPr>
        <w:widowControl w:val="0"/>
        <w:spacing w:before="120" w:after="120"/>
        <w:ind w:firstLine="709"/>
        <w:jc w:val="both"/>
        <w:rPr>
          <w:b/>
          <w:i/>
          <w:sz w:val="20"/>
          <w:szCs w:val="20"/>
          <w:lang w:val="x-none" w:eastAsia="x-none"/>
        </w:rPr>
      </w:pPr>
      <w:r w:rsidRPr="00D53293">
        <w:rPr>
          <w:b/>
          <w:i/>
          <w:sz w:val="20"/>
          <w:szCs w:val="20"/>
          <w:lang w:val="x-none" w:eastAsia="x-none"/>
        </w:rPr>
        <w:t xml:space="preserve">1.2.4 Объекты торговли </w:t>
      </w:r>
    </w:p>
    <w:p w:rsidR="00D53293" w:rsidRPr="00B3072D" w:rsidRDefault="00D53293" w:rsidP="00D53293">
      <w:pPr>
        <w:widowControl w:val="0"/>
        <w:ind w:firstLine="709"/>
        <w:jc w:val="both"/>
        <w:rPr>
          <w:sz w:val="18"/>
          <w:szCs w:val="18"/>
          <w:lang w:val="x-none" w:eastAsia="x-none"/>
        </w:rPr>
      </w:pPr>
      <w:r w:rsidRPr="00B3072D">
        <w:rPr>
          <w:sz w:val="18"/>
          <w:szCs w:val="18"/>
          <w:lang w:val="x-none" w:eastAsia="x-none"/>
        </w:rPr>
        <w:t>Минимальн</w:t>
      </w:r>
      <w:r w:rsidRPr="00B3072D">
        <w:rPr>
          <w:sz w:val="18"/>
          <w:szCs w:val="18"/>
          <w:lang w:eastAsia="x-none"/>
        </w:rPr>
        <w:t>о допустимый</w:t>
      </w:r>
      <w:r w:rsidRPr="00B3072D">
        <w:rPr>
          <w:sz w:val="18"/>
          <w:szCs w:val="18"/>
          <w:lang w:val="x-none" w:eastAsia="x-none"/>
        </w:rPr>
        <w:t xml:space="preserve"> уровень обеспеченности населения объектами торговли принимается на следующим образом:</w:t>
      </w:r>
    </w:p>
    <w:p w:rsidR="00D53293" w:rsidRPr="00B3072D" w:rsidRDefault="00D53293" w:rsidP="00D532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x-none" w:eastAsia="x-none"/>
        </w:rPr>
      </w:pPr>
      <w:r w:rsidRPr="00B3072D">
        <w:rPr>
          <w:sz w:val="18"/>
          <w:szCs w:val="18"/>
          <w:lang w:val="x-none" w:eastAsia="x-none"/>
        </w:rPr>
        <w:t xml:space="preserve">суммарный норматив минимальной обеспеченности населения площадью торговых объектов – </w:t>
      </w:r>
      <w:r w:rsidRPr="00B3072D">
        <w:rPr>
          <w:sz w:val="18"/>
          <w:szCs w:val="18"/>
          <w:lang w:eastAsia="x-none"/>
        </w:rPr>
        <w:t xml:space="preserve">220 </w:t>
      </w:r>
      <w:r w:rsidRPr="00B3072D">
        <w:rPr>
          <w:sz w:val="18"/>
          <w:szCs w:val="18"/>
          <w:lang w:val="x-none" w:eastAsia="x-none"/>
        </w:rPr>
        <w:t>м</w:t>
      </w:r>
      <w:r w:rsidRPr="00B3072D">
        <w:rPr>
          <w:sz w:val="18"/>
          <w:szCs w:val="18"/>
          <w:vertAlign w:val="superscript"/>
          <w:lang w:val="x-none" w:eastAsia="x-none"/>
        </w:rPr>
        <w:t>2</w:t>
      </w:r>
      <w:r w:rsidRPr="00B3072D">
        <w:rPr>
          <w:sz w:val="18"/>
          <w:szCs w:val="18"/>
          <w:lang w:val="x-none" w:eastAsia="x-none"/>
        </w:rPr>
        <w:t xml:space="preserve"> на 1000 чел;</w:t>
      </w:r>
    </w:p>
    <w:p w:rsidR="00D53293" w:rsidRPr="00B3072D" w:rsidRDefault="00D53293" w:rsidP="00D532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x-none" w:eastAsia="x-none"/>
        </w:rPr>
      </w:pPr>
      <w:r w:rsidRPr="00B3072D">
        <w:rPr>
          <w:sz w:val="18"/>
          <w:szCs w:val="18"/>
          <w:lang w:val="x-none" w:eastAsia="x-none"/>
        </w:rPr>
        <w:t xml:space="preserve">минимальный норматив обеспеченности населения площадью торговых объектов по продаже продовольственных товаров – </w:t>
      </w:r>
      <w:r w:rsidRPr="00B3072D">
        <w:rPr>
          <w:sz w:val="18"/>
          <w:szCs w:val="18"/>
          <w:lang w:eastAsia="x-none"/>
        </w:rPr>
        <w:t>67</w:t>
      </w:r>
      <w:r w:rsidRPr="00B3072D">
        <w:rPr>
          <w:sz w:val="18"/>
          <w:szCs w:val="18"/>
          <w:lang w:val="x-none" w:eastAsia="x-none"/>
        </w:rPr>
        <w:t xml:space="preserve"> м</w:t>
      </w:r>
      <w:r w:rsidRPr="00B3072D">
        <w:rPr>
          <w:sz w:val="18"/>
          <w:szCs w:val="18"/>
          <w:vertAlign w:val="superscript"/>
          <w:lang w:val="x-none" w:eastAsia="x-none"/>
        </w:rPr>
        <w:t>2</w:t>
      </w:r>
      <w:r w:rsidRPr="00B3072D">
        <w:rPr>
          <w:sz w:val="18"/>
          <w:szCs w:val="18"/>
          <w:lang w:val="x-none" w:eastAsia="x-none"/>
        </w:rPr>
        <w:t xml:space="preserve"> на 1000 чел;</w:t>
      </w:r>
    </w:p>
    <w:p w:rsidR="00D53293" w:rsidRPr="00B3072D" w:rsidRDefault="00D53293" w:rsidP="00D532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x-none" w:eastAsia="x-none"/>
        </w:rPr>
      </w:pPr>
      <w:r w:rsidRPr="00B3072D">
        <w:rPr>
          <w:sz w:val="18"/>
          <w:szCs w:val="18"/>
          <w:lang w:val="x-none" w:eastAsia="x-none"/>
        </w:rPr>
        <w:t xml:space="preserve">минимальный норматив обеспеченности населения площадью торговых объектов по продаже непродовольственных товаров – </w:t>
      </w:r>
      <w:r w:rsidRPr="00B3072D">
        <w:rPr>
          <w:sz w:val="18"/>
          <w:szCs w:val="18"/>
          <w:lang w:eastAsia="x-none"/>
        </w:rPr>
        <w:t>153</w:t>
      </w:r>
      <w:r w:rsidRPr="00B3072D">
        <w:rPr>
          <w:sz w:val="18"/>
          <w:szCs w:val="18"/>
          <w:lang w:val="x-none" w:eastAsia="x-none"/>
        </w:rPr>
        <w:t xml:space="preserve"> м</w:t>
      </w:r>
      <w:r w:rsidRPr="00B3072D">
        <w:rPr>
          <w:sz w:val="18"/>
          <w:szCs w:val="18"/>
          <w:vertAlign w:val="superscript"/>
          <w:lang w:val="x-none" w:eastAsia="x-none"/>
        </w:rPr>
        <w:t>2</w:t>
      </w:r>
      <w:r w:rsidRPr="00B3072D">
        <w:rPr>
          <w:sz w:val="18"/>
          <w:szCs w:val="18"/>
          <w:lang w:val="x-none" w:eastAsia="x-none"/>
        </w:rPr>
        <w:t xml:space="preserve"> на 1000 чел.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B3072D">
        <w:rPr>
          <w:sz w:val="18"/>
          <w:szCs w:val="18"/>
        </w:rPr>
        <w:t>Максимально допустимый уровень территориальной доступности для населения объектов торговли, размещенными в жилой застройке, следует принимать не более 2000 м.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  <w:sz w:val="20"/>
          <w:szCs w:val="20"/>
        </w:rPr>
      </w:pPr>
      <w:r w:rsidRPr="00D53293">
        <w:rPr>
          <w:b/>
          <w:bCs/>
          <w:i/>
          <w:sz w:val="20"/>
          <w:szCs w:val="20"/>
        </w:rPr>
        <w:t>1.2.5 Объекты ритуальных услуг и места захоронения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Минимально допустимый уровень обеспеченности населения муниципального образования «Ользоны» объектами ритуальных услуг и местами захоронения принимается по таблице 1.7.</w:t>
      </w:r>
    </w:p>
    <w:p w:rsidR="00710DC8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Таблица 1.7 – Минимально допустимый уровень обеспеченности населения объектами ритуальных услуг и местами захоронения</w:t>
      </w:r>
      <w:bookmarkStart w:id="0" w:name="_GoBack"/>
      <w:bookmarkEnd w:id="0"/>
    </w:p>
    <w:tbl>
      <w:tblPr>
        <w:tblW w:w="93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11"/>
        <w:gridCol w:w="2551"/>
        <w:gridCol w:w="2693"/>
      </w:tblGrid>
      <w:tr w:rsidR="00D53293" w:rsidRPr="00D53293" w:rsidTr="0017672E">
        <w:trPr>
          <w:trHeight w:val="233"/>
          <w:tblHeader/>
          <w:jc w:val="center"/>
        </w:trPr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Наименование объектов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Показатель</w:t>
            </w:r>
          </w:p>
        </w:tc>
      </w:tr>
      <w:tr w:rsidR="00D53293" w:rsidRPr="00D53293" w:rsidTr="0017672E">
        <w:trPr>
          <w:trHeight w:val="126"/>
          <w:tblHeader/>
          <w:jc w:val="center"/>
        </w:trPr>
        <w:tc>
          <w:tcPr>
            <w:tcW w:w="41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3</w:t>
            </w:r>
          </w:p>
        </w:tc>
      </w:tr>
      <w:tr w:rsidR="00D53293" w:rsidRPr="00D53293" w:rsidTr="0017672E">
        <w:trPr>
          <w:trHeight w:val="159"/>
          <w:jc w:val="center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spacing w:line="290" w:lineRule="atLeast"/>
              <w:jc w:val="both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Бюро похоронного обслуживания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spacing w:line="290" w:lineRule="atLeast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spacing w:line="290" w:lineRule="atLeast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1</w:t>
            </w:r>
          </w:p>
        </w:tc>
      </w:tr>
      <w:tr w:rsidR="00D53293" w:rsidRPr="00D53293" w:rsidTr="0017672E">
        <w:trPr>
          <w:trHeight w:val="203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D53293" w:rsidRPr="00B3072D" w:rsidRDefault="00D53293" w:rsidP="00D53293">
            <w:pPr>
              <w:spacing w:line="290" w:lineRule="atLeast"/>
              <w:jc w:val="both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Кладбища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3293" w:rsidRPr="00B3072D" w:rsidRDefault="00D53293" w:rsidP="00D53293">
            <w:pPr>
              <w:spacing w:line="290" w:lineRule="atLeas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3072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B3072D">
              <w:rPr>
                <w:color w:val="000000"/>
                <w:sz w:val="18"/>
                <w:szCs w:val="18"/>
              </w:rPr>
              <w:t xml:space="preserve"> на 1000 чел.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293" w:rsidRPr="00B3072D" w:rsidRDefault="00D53293" w:rsidP="00D53293">
            <w:pPr>
              <w:spacing w:line="290" w:lineRule="atLeast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0,26</w:t>
            </w:r>
          </w:p>
        </w:tc>
      </w:tr>
    </w:tbl>
    <w:p w:rsidR="00710DC8" w:rsidRDefault="00710DC8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1.3 Озелененные территории общего пользования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Минимально допустимый уровень обеспеченности населения муниципального образования «Ользоны» озелененными территориями общего пользования устанавливается в размере 12 м</w:t>
      </w:r>
      <w:proofErr w:type="gramStart"/>
      <w:r w:rsidRPr="00B3072D">
        <w:rPr>
          <w:sz w:val="18"/>
          <w:szCs w:val="18"/>
          <w:vertAlign w:val="superscript"/>
        </w:rPr>
        <w:t>2</w:t>
      </w:r>
      <w:proofErr w:type="gramEnd"/>
      <w:r w:rsidRPr="00B3072D">
        <w:rPr>
          <w:sz w:val="18"/>
          <w:szCs w:val="18"/>
          <w:vertAlign w:val="superscript"/>
        </w:rPr>
        <w:t xml:space="preserve"> </w:t>
      </w:r>
      <w:r w:rsidRPr="00B3072D">
        <w:rPr>
          <w:sz w:val="18"/>
          <w:szCs w:val="18"/>
        </w:rPr>
        <w:t>на человека.</w:t>
      </w:r>
    </w:p>
    <w:p w:rsidR="00B3072D" w:rsidRDefault="00B3072D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bCs/>
          <w:color w:val="000000"/>
          <w:sz w:val="20"/>
          <w:szCs w:val="20"/>
        </w:rPr>
        <w:t>1.4 Проходы (проезды) к водным объектам общего пользования и их береговым полосам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B3072D">
        <w:rPr>
          <w:sz w:val="18"/>
          <w:szCs w:val="18"/>
          <w:shd w:val="clear" w:color="auto" w:fill="FFFFFF"/>
        </w:rPr>
        <w:t>Максимальная территориальная доступность устанавливается для осуществления прохода (проезда) к водным объектам общего пользования и их береговым полосам и принимается по таблице 1.8.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B3072D">
        <w:rPr>
          <w:color w:val="000000"/>
          <w:sz w:val="18"/>
          <w:szCs w:val="18"/>
        </w:rPr>
        <w:t>Проход (проезд) к водным объектам общего пользования и их береговым полосам, как правило, устанавливается в границах территории общего пользования, при невозможности – обеспечивается путем установления публичных сервитутов.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b/>
          <w:sz w:val="20"/>
          <w:szCs w:val="20"/>
          <w:shd w:val="clear" w:color="auto" w:fill="FFFFFF"/>
        </w:rPr>
      </w:pPr>
      <w:r w:rsidRPr="00D53293">
        <w:rPr>
          <w:b/>
          <w:sz w:val="20"/>
          <w:szCs w:val="20"/>
          <w:shd w:val="clear" w:color="auto" w:fill="FFFFFF"/>
        </w:rPr>
        <w:t xml:space="preserve">Таблица 1.8 – </w:t>
      </w:r>
      <w:r w:rsidRPr="00D53293">
        <w:rPr>
          <w:b/>
          <w:sz w:val="20"/>
          <w:szCs w:val="20"/>
        </w:rPr>
        <w:t>Максимальный уровень доступности проходов (проездов) к водным объектам общего пользования и их береговым полосам</w:t>
      </w:r>
    </w:p>
    <w:tbl>
      <w:tblPr>
        <w:tblW w:w="96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2464"/>
        <w:gridCol w:w="1560"/>
      </w:tblGrid>
      <w:tr w:rsidR="00D53293" w:rsidRPr="00B3072D" w:rsidTr="0017672E">
        <w:trPr>
          <w:tblHeader/>
        </w:trPr>
        <w:tc>
          <w:tcPr>
            <w:tcW w:w="563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Наименование объектов</w:t>
            </w:r>
          </w:p>
        </w:tc>
        <w:tc>
          <w:tcPr>
            <w:tcW w:w="246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Показатель</w:t>
            </w:r>
          </w:p>
        </w:tc>
      </w:tr>
      <w:tr w:rsidR="00D53293" w:rsidRPr="00B3072D" w:rsidTr="0017672E">
        <w:trPr>
          <w:trHeight w:val="108"/>
          <w:tblHeader/>
        </w:trPr>
        <w:tc>
          <w:tcPr>
            <w:tcW w:w="56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3</w:t>
            </w:r>
          </w:p>
        </w:tc>
      </w:tr>
      <w:tr w:rsidR="00D53293" w:rsidRPr="00B3072D" w:rsidTr="0017672E">
        <w:trPr>
          <w:tblHeader/>
        </w:trPr>
        <w:tc>
          <w:tcPr>
            <w:tcW w:w="56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Проход (проезд) к водным объектам общего пользования и их береговым полосам</w:t>
            </w:r>
          </w:p>
        </w:tc>
        <w:tc>
          <w:tcPr>
            <w:tcW w:w="24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м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072D">
              <w:rPr>
                <w:bCs/>
                <w:sz w:val="18"/>
                <w:szCs w:val="18"/>
              </w:rPr>
              <w:t>250</w:t>
            </w:r>
          </w:p>
        </w:tc>
      </w:tr>
    </w:tbl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z w:val="18"/>
          <w:szCs w:val="18"/>
        </w:rPr>
      </w:pPr>
      <w:r w:rsidRPr="00B3072D">
        <w:rPr>
          <w:i/>
          <w:color w:val="000000"/>
          <w:sz w:val="18"/>
          <w:szCs w:val="18"/>
        </w:rPr>
        <w:t>Примечание: За максимально допустимый уровень территориальной доступности прохода (проезда) к водным объектам общего пользования и их береговой полосе принимается половина расстояния между соседними проходами.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53293">
        <w:rPr>
          <w:b/>
          <w:sz w:val="20"/>
          <w:szCs w:val="20"/>
        </w:rPr>
        <w:t>1.5 Транспорт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  <w:sz w:val="20"/>
          <w:szCs w:val="20"/>
        </w:rPr>
      </w:pPr>
      <w:r w:rsidRPr="00D53293">
        <w:rPr>
          <w:b/>
          <w:i/>
          <w:sz w:val="20"/>
          <w:szCs w:val="20"/>
        </w:rPr>
        <w:t>1.5.1 Автомобильные дороги местного значения в границах населенных пунктов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Уровень автомобилизации муниципального образования «Ользоны» следует принимать в размере 155 автомобилей на 1000 человек, включая 3 такси и 2 ведомственных автомобиля, 25 грузовых автомобилей в зависимости от состава парка.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Классификация автомобильных дорог местного значения приводится в таблице 1.9.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Таблица 1.9 – Показатели поперечных профилей улично-дорожной сети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651"/>
        <w:gridCol w:w="1258"/>
        <w:gridCol w:w="1018"/>
        <w:gridCol w:w="941"/>
        <w:gridCol w:w="1397"/>
      </w:tblGrid>
      <w:tr w:rsidR="00D53293" w:rsidRPr="00D53293" w:rsidTr="0017672E">
        <w:trPr>
          <w:trHeight w:val="1142"/>
          <w:tblHeader/>
          <w:jc w:val="center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 xml:space="preserve">Категория </w:t>
            </w:r>
          </w:p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сельских улиц и дорог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 xml:space="preserve">Основное </w:t>
            </w:r>
          </w:p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назначение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 xml:space="preserve">Расчетная скорость движения, </w:t>
            </w:r>
            <w:proofErr w:type="gramStart"/>
            <w:r w:rsidRPr="00B3072D">
              <w:rPr>
                <w:sz w:val="18"/>
                <w:szCs w:val="18"/>
              </w:rPr>
              <w:t>км</w:t>
            </w:r>
            <w:proofErr w:type="gramEnd"/>
            <w:r w:rsidRPr="00B3072D">
              <w:rPr>
                <w:sz w:val="18"/>
                <w:szCs w:val="18"/>
              </w:rPr>
              <w:t>/ч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Ширина</w:t>
            </w:r>
          </w:p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 xml:space="preserve">полосы движения, </w:t>
            </w:r>
            <w:proofErr w:type="gramStart"/>
            <w:r w:rsidRPr="00B3072D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Число полос движения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 xml:space="preserve">Ширина пешеходной части тротуара, </w:t>
            </w:r>
            <w:proofErr w:type="gramStart"/>
            <w:r w:rsidRPr="00B3072D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D53293" w:rsidRPr="00D53293" w:rsidTr="0017672E">
        <w:trPr>
          <w:trHeight w:val="85"/>
          <w:tblHeader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6</w:t>
            </w:r>
          </w:p>
        </w:tc>
      </w:tr>
      <w:tr w:rsidR="00D53293" w:rsidRPr="00D53293" w:rsidTr="0017672E">
        <w:trPr>
          <w:trHeight w:val="500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Поселковая дорога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Связь с внешними дорогами общей сети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60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-</w:t>
            </w:r>
          </w:p>
        </w:tc>
      </w:tr>
      <w:tr w:rsidR="00D53293" w:rsidRPr="00D53293" w:rsidTr="0017672E">
        <w:trPr>
          <w:trHeight w:val="551"/>
          <w:jc w:val="center"/>
        </w:trPr>
        <w:tc>
          <w:tcPr>
            <w:tcW w:w="2410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269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40</w:t>
            </w:r>
          </w:p>
        </w:tc>
        <w:tc>
          <w:tcPr>
            <w:tcW w:w="1032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2-3</w:t>
            </w:r>
          </w:p>
        </w:tc>
        <w:tc>
          <w:tcPr>
            <w:tcW w:w="1417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1,5-2,25</w:t>
            </w:r>
          </w:p>
        </w:tc>
      </w:tr>
      <w:tr w:rsidR="00D53293" w:rsidRPr="00D53293" w:rsidTr="0017672E">
        <w:trPr>
          <w:trHeight w:val="235"/>
          <w:jc w:val="center"/>
        </w:trPr>
        <w:tc>
          <w:tcPr>
            <w:tcW w:w="9781" w:type="dxa"/>
            <w:gridSpan w:val="6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Улица в жилой застройке:</w:t>
            </w:r>
          </w:p>
        </w:tc>
      </w:tr>
      <w:tr w:rsidR="00D53293" w:rsidRPr="00D53293" w:rsidTr="0017672E">
        <w:trPr>
          <w:trHeight w:val="421"/>
          <w:jc w:val="center"/>
        </w:trPr>
        <w:tc>
          <w:tcPr>
            <w:tcW w:w="2410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ind w:left="318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основная</w:t>
            </w:r>
          </w:p>
        </w:tc>
        <w:tc>
          <w:tcPr>
            <w:tcW w:w="269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40</w:t>
            </w:r>
          </w:p>
        </w:tc>
        <w:tc>
          <w:tcPr>
            <w:tcW w:w="1032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1,0-1,5</w:t>
            </w:r>
          </w:p>
        </w:tc>
      </w:tr>
      <w:tr w:rsidR="00D53293" w:rsidRPr="00D53293" w:rsidTr="0017672E">
        <w:trPr>
          <w:trHeight w:val="65"/>
          <w:jc w:val="center"/>
        </w:trPr>
        <w:tc>
          <w:tcPr>
            <w:tcW w:w="2410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ind w:left="318"/>
              <w:rPr>
                <w:sz w:val="18"/>
                <w:szCs w:val="18"/>
              </w:rPr>
            </w:pPr>
            <w:proofErr w:type="gramStart"/>
            <w:r w:rsidRPr="00B3072D">
              <w:rPr>
                <w:sz w:val="18"/>
                <w:szCs w:val="18"/>
              </w:rPr>
              <w:t>второстепенная</w:t>
            </w:r>
            <w:proofErr w:type="gramEnd"/>
            <w:r w:rsidRPr="00B3072D">
              <w:rPr>
                <w:sz w:val="18"/>
                <w:szCs w:val="18"/>
              </w:rPr>
              <w:t xml:space="preserve"> (переулок)</w:t>
            </w:r>
          </w:p>
        </w:tc>
        <w:tc>
          <w:tcPr>
            <w:tcW w:w="269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Связь между основными жилыми улицами</w:t>
            </w:r>
          </w:p>
        </w:tc>
        <w:tc>
          <w:tcPr>
            <w:tcW w:w="1276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30</w:t>
            </w:r>
          </w:p>
        </w:tc>
        <w:tc>
          <w:tcPr>
            <w:tcW w:w="1032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2,75</w:t>
            </w:r>
          </w:p>
        </w:tc>
        <w:tc>
          <w:tcPr>
            <w:tcW w:w="95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1,0</w:t>
            </w:r>
          </w:p>
        </w:tc>
      </w:tr>
      <w:tr w:rsidR="00D53293" w:rsidRPr="00D53293" w:rsidTr="0017672E">
        <w:trPr>
          <w:trHeight w:val="65"/>
          <w:jc w:val="center"/>
        </w:trPr>
        <w:tc>
          <w:tcPr>
            <w:tcW w:w="2410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ind w:left="318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проезд</w:t>
            </w:r>
          </w:p>
        </w:tc>
        <w:tc>
          <w:tcPr>
            <w:tcW w:w="269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20</w:t>
            </w:r>
          </w:p>
        </w:tc>
        <w:tc>
          <w:tcPr>
            <w:tcW w:w="1032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2,75-3,0</w:t>
            </w:r>
          </w:p>
        </w:tc>
        <w:tc>
          <w:tcPr>
            <w:tcW w:w="95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0-1,0</w:t>
            </w:r>
          </w:p>
        </w:tc>
      </w:tr>
      <w:tr w:rsidR="00D53293" w:rsidRPr="00D53293" w:rsidTr="0017672E">
        <w:trPr>
          <w:trHeight w:val="65"/>
          <w:jc w:val="center"/>
        </w:trPr>
        <w:tc>
          <w:tcPr>
            <w:tcW w:w="2410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269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30</w:t>
            </w:r>
          </w:p>
        </w:tc>
        <w:tc>
          <w:tcPr>
            <w:tcW w:w="1032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4,5</w:t>
            </w:r>
          </w:p>
        </w:tc>
        <w:tc>
          <w:tcPr>
            <w:tcW w:w="953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53293" w:rsidRPr="00B3072D" w:rsidRDefault="00D53293" w:rsidP="00D53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-</w:t>
            </w:r>
          </w:p>
        </w:tc>
      </w:tr>
    </w:tbl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  <w:sz w:val="20"/>
          <w:szCs w:val="20"/>
        </w:rPr>
      </w:pPr>
      <w:r w:rsidRPr="00D53293">
        <w:rPr>
          <w:b/>
          <w:i/>
          <w:sz w:val="20"/>
          <w:szCs w:val="20"/>
        </w:rPr>
        <w:t>1.5.2 Сеть общественного транспорта</w:t>
      </w:r>
    </w:p>
    <w:p w:rsidR="00D53293" w:rsidRPr="00B3072D" w:rsidRDefault="00D53293" w:rsidP="00D5329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B3072D">
        <w:rPr>
          <w:rFonts w:eastAsia="Calibri"/>
          <w:sz w:val="18"/>
          <w:szCs w:val="18"/>
          <w:lang w:eastAsia="en-US"/>
        </w:rPr>
        <w:t>Дальность пешеходных подходов</w:t>
      </w:r>
      <w:r w:rsidRPr="00B3072D">
        <w:rPr>
          <w:sz w:val="18"/>
          <w:szCs w:val="18"/>
        </w:rPr>
        <w:t xml:space="preserve"> </w:t>
      </w:r>
      <w:r w:rsidRPr="00B3072D">
        <w:rPr>
          <w:rFonts w:eastAsia="Calibri"/>
          <w:sz w:val="18"/>
          <w:szCs w:val="18"/>
          <w:lang w:eastAsia="en-US"/>
        </w:rPr>
        <w:t xml:space="preserve">до ближайшей остановки общественного пассажирского транспорта следует принимать не более </w:t>
      </w:r>
      <w:r w:rsidRPr="00B3072D">
        <w:rPr>
          <w:sz w:val="18"/>
          <w:szCs w:val="18"/>
        </w:rPr>
        <w:t>500 м.</w:t>
      </w:r>
    </w:p>
    <w:p w:rsidR="00D53293" w:rsidRPr="00B3072D" w:rsidRDefault="00D53293" w:rsidP="00D53293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принимать 400 м.</w:t>
      </w:r>
    </w:p>
    <w:p w:rsidR="00D53293" w:rsidRPr="00D53293" w:rsidRDefault="00D53293" w:rsidP="00D5329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D53293">
        <w:rPr>
          <w:rFonts w:eastAsia="Calibri"/>
          <w:b/>
          <w:i/>
          <w:sz w:val="20"/>
          <w:szCs w:val="20"/>
          <w:lang w:eastAsia="en-US"/>
        </w:rPr>
        <w:t>1.5.3 Сооружения и устройства для хранения транспортных средств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bookmarkStart w:id="1" w:name="sub_905"/>
      <w:r w:rsidRPr="00B3072D">
        <w:rPr>
          <w:sz w:val="18"/>
          <w:szCs w:val="18"/>
        </w:rPr>
        <w:t xml:space="preserve">Нормы расчета стоянок для временного хранения легковых автомобилей у общественных объектов следует принимать в соответствии с </w:t>
      </w:r>
      <w:r w:rsidRPr="00B3072D">
        <w:rPr>
          <w:bCs/>
          <w:sz w:val="18"/>
          <w:szCs w:val="18"/>
        </w:rPr>
        <w:t>таблицей 1.10.</w:t>
      </w:r>
    </w:p>
    <w:p w:rsidR="00D53293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B3072D">
        <w:rPr>
          <w:sz w:val="18"/>
          <w:szCs w:val="18"/>
        </w:rPr>
        <w:t>Расстояние пешеходных подходов от стоянок для временного хранения легковых автомобилей следует</w:t>
      </w:r>
      <w:r w:rsidRPr="00B3072D">
        <w:rPr>
          <w:rFonts w:eastAsia="Calibri"/>
          <w:sz w:val="18"/>
          <w:szCs w:val="18"/>
          <w:lang w:eastAsia="en-US"/>
        </w:rPr>
        <w:t xml:space="preserve"> принимать не более 250 м до входа.</w:t>
      </w:r>
    </w:p>
    <w:p w:rsidR="00266E36" w:rsidRDefault="00266E36" w:rsidP="00D53293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266E36" w:rsidRPr="00266E36" w:rsidRDefault="00266E36" w:rsidP="00266E36">
      <w:pPr>
        <w:widowControl w:val="0"/>
        <w:ind w:firstLine="709"/>
        <w:jc w:val="both"/>
        <w:rPr>
          <w:rFonts w:eastAsia="Calibri"/>
          <w:b/>
          <w:i/>
          <w:color w:val="FF0000"/>
          <w:sz w:val="20"/>
          <w:szCs w:val="20"/>
          <w:shd w:val="clear" w:color="auto" w:fill="FFFFFF"/>
          <w:lang w:eastAsia="en-US"/>
        </w:rPr>
      </w:pPr>
      <w:r w:rsidRPr="00266E36">
        <w:rPr>
          <w:rFonts w:eastAsia="Calibri"/>
          <w:color w:val="FF0000"/>
          <w:spacing w:val="1"/>
          <w:sz w:val="20"/>
          <w:szCs w:val="20"/>
          <w:lang w:eastAsia="en-US"/>
        </w:rPr>
        <w:t>«</w:t>
      </w:r>
      <w:r w:rsidRPr="00266E36">
        <w:rPr>
          <w:rFonts w:eastAsia="Calibri"/>
          <w:b/>
          <w:i/>
          <w:color w:val="FF0000"/>
          <w:spacing w:val="1"/>
          <w:sz w:val="20"/>
          <w:szCs w:val="20"/>
          <w:lang w:eastAsia="en-US"/>
        </w:rPr>
        <w:t xml:space="preserve">1.5.4. </w:t>
      </w:r>
      <w:r w:rsidRPr="00266E36">
        <w:rPr>
          <w:rFonts w:eastAsia="Calibri"/>
          <w:b/>
          <w:i/>
          <w:color w:val="FF0000"/>
          <w:sz w:val="20"/>
          <w:szCs w:val="20"/>
          <w:shd w:val="clear" w:color="auto" w:fill="FFFFFF"/>
          <w:lang w:eastAsia="en-US"/>
        </w:rPr>
        <w:t>Велосипедные дорожки в границах населенных пунктов</w:t>
      </w:r>
    </w:p>
    <w:p w:rsidR="00266E36" w:rsidRPr="00266E36" w:rsidRDefault="00266E36" w:rsidP="00266E36">
      <w:pPr>
        <w:widowControl w:val="0"/>
        <w:ind w:firstLine="709"/>
        <w:jc w:val="both"/>
        <w:rPr>
          <w:rFonts w:eastAsia="Calibri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266E36" w:rsidRPr="00266E36" w:rsidRDefault="00266E36" w:rsidP="00266E36">
      <w:pPr>
        <w:shd w:val="clear" w:color="auto" w:fill="FFFFFF"/>
        <w:ind w:firstLine="709"/>
        <w:jc w:val="both"/>
        <w:rPr>
          <w:rFonts w:eastAsia="Calibri"/>
          <w:color w:val="FF0000"/>
          <w:sz w:val="18"/>
          <w:szCs w:val="18"/>
          <w:lang w:eastAsia="en-US"/>
        </w:rPr>
      </w:pPr>
      <w:proofErr w:type="gramStart"/>
      <w:r w:rsidRPr="00266E36">
        <w:rPr>
          <w:rFonts w:eastAsia="Calibri"/>
          <w:color w:val="FF0000"/>
          <w:sz w:val="18"/>
          <w:szCs w:val="18"/>
          <w:lang w:eastAsia="en-US"/>
        </w:rPr>
        <w:t xml:space="preserve">Уровень обеспеченности велосипедными дорожками не установлен Региональными нормативами градостроительной проектирования,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</w:t>
      </w:r>
      <w:r w:rsidRPr="00266E36">
        <w:rPr>
          <w:rFonts w:eastAsia="Calibri"/>
          <w:color w:val="FF0000"/>
          <w:sz w:val="18"/>
          <w:szCs w:val="18"/>
          <w:lang w:eastAsia="en-US"/>
        </w:rPr>
        <w:lastRenderedPageBreak/>
        <w:t>населенных пункто</w:t>
      </w:r>
      <w:r w:rsidR="001E03FC">
        <w:rPr>
          <w:rFonts w:eastAsia="Calibri"/>
          <w:color w:val="FF0000"/>
          <w:sz w:val="18"/>
          <w:szCs w:val="18"/>
          <w:lang w:eastAsia="en-US"/>
        </w:rPr>
        <w:t>в, в соответствии с таблицей 1.10</w:t>
      </w:r>
      <w:r w:rsidRPr="00266E36">
        <w:rPr>
          <w:rFonts w:eastAsia="Calibri"/>
          <w:color w:val="FF0000"/>
          <w:sz w:val="18"/>
          <w:szCs w:val="18"/>
          <w:lang w:eastAsia="en-US"/>
        </w:rPr>
        <w:t xml:space="preserve"> а, который будет действовать до момента установления в Региональных нормативах градостроительного проектирования.</w:t>
      </w:r>
      <w:proofErr w:type="gramEnd"/>
    </w:p>
    <w:p w:rsidR="00266E36" w:rsidRPr="00266E36" w:rsidRDefault="00266E36" w:rsidP="00D53293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18"/>
          <w:szCs w:val="18"/>
          <w:lang w:eastAsia="en-US"/>
        </w:rPr>
      </w:pPr>
    </w:p>
    <w:p w:rsidR="00266E36" w:rsidRPr="00266E36" w:rsidRDefault="00266E36" w:rsidP="00266E36">
      <w:pPr>
        <w:shd w:val="clear" w:color="auto" w:fill="FFFFFF"/>
        <w:ind w:firstLine="851"/>
        <w:rPr>
          <w:rFonts w:eastAsia="Calibri"/>
          <w:b/>
          <w:bCs/>
          <w:color w:val="FF0000"/>
          <w:sz w:val="20"/>
          <w:szCs w:val="20"/>
          <w:lang w:eastAsia="en-US"/>
        </w:rPr>
      </w:pPr>
      <w:r w:rsidRPr="00266E36">
        <w:rPr>
          <w:rFonts w:eastAsia="Calibri"/>
          <w:b/>
          <w:bCs/>
          <w:color w:val="FF0000"/>
          <w:sz w:val="20"/>
          <w:szCs w:val="20"/>
          <w:lang w:eastAsia="en-US"/>
        </w:rPr>
        <w:t>Таблица 1.10 а - справочный расчетный показатель</w:t>
      </w:r>
    </w:p>
    <w:tbl>
      <w:tblPr>
        <w:tblW w:w="9355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985"/>
        <w:gridCol w:w="4427"/>
      </w:tblGrid>
      <w:tr w:rsidR="005A6E42" w:rsidRPr="00266E36" w:rsidTr="00E41B6F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Минимальная</w:t>
            </w:r>
          </w:p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протяженность</w:t>
            </w:r>
          </w:p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велодорожек, </w:t>
            </w:r>
            <w:proofErr w:type="gramStart"/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Целевое назначение</w:t>
            </w:r>
          </w:p>
        </w:tc>
      </w:tr>
      <w:tr w:rsidR="005A6E42" w:rsidRPr="00266E36" w:rsidTr="00E41B6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500-1000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для спортивно-оздоровительных поездок</w:t>
            </w:r>
          </w:p>
        </w:tc>
      </w:tr>
      <w:tr w:rsidR="005A6E42" w:rsidRPr="00266E36" w:rsidTr="00E41B6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 </w:t>
            </w:r>
          </w:p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1000-2000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 </w:t>
            </w:r>
          </w:p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для спортивно-оздоровительных поездок;</w:t>
            </w:r>
          </w:p>
          <w:p w:rsidR="00266E36" w:rsidRPr="00266E36" w:rsidRDefault="00266E36" w:rsidP="00266E36">
            <w:pP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для поездок на работу</w:t>
            </w:r>
          </w:p>
        </w:tc>
      </w:tr>
      <w:tr w:rsidR="005A6E42" w:rsidRPr="00266E36" w:rsidTr="00E41B6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 </w:t>
            </w:r>
          </w:p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2000-5000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 </w:t>
            </w:r>
          </w:p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для спортивно-оздоровительных поездок;</w:t>
            </w:r>
          </w:p>
          <w:p w:rsidR="00266E36" w:rsidRPr="00266E36" w:rsidRDefault="00266E36" w:rsidP="00266E36">
            <w:pP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для поездок на работу</w:t>
            </w:r>
          </w:p>
        </w:tc>
      </w:tr>
      <w:tr w:rsidR="005A6E42" w:rsidRPr="00266E36" w:rsidTr="00E41B6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 </w:t>
            </w:r>
          </w:p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5000-10000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 </w:t>
            </w:r>
          </w:p>
          <w:p w:rsidR="00266E36" w:rsidRPr="00266E36" w:rsidRDefault="00266E36" w:rsidP="00266E36">
            <w:pPr>
              <w:jc w:val="center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36" w:rsidRPr="00266E36" w:rsidRDefault="00266E36" w:rsidP="00266E36">
            <w:pP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для спортивно-оздоровительных поездок;</w:t>
            </w:r>
          </w:p>
          <w:p w:rsidR="00266E36" w:rsidRPr="00266E36" w:rsidRDefault="00266E36" w:rsidP="00266E36">
            <w:pPr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266E36">
              <w:rPr>
                <w:rFonts w:eastAsia="Calibri"/>
                <w:color w:val="FF0000"/>
                <w:sz w:val="18"/>
                <w:szCs w:val="18"/>
                <w:lang w:eastAsia="en-US"/>
              </w:rPr>
              <w:t>для поездок на работу</w:t>
            </w:r>
          </w:p>
        </w:tc>
      </w:tr>
    </w:tbl>
    <w:p w:rsidR="00266E36" w:rsidRPr="00266E36" w:rsidRDefault="00266E36" w:rsidP="00266E36">
      <w:pPr>
        <w:shd w:val="clear" w:color="auto" w:fill="FFFFFF"/>
        <w:ind w:firstLine="709"/>
        <w:jc w:val="both"/>
        <w:rPr>
          <w:rFonts w:eastAsia="Calibri"/>
          <w:color w:val="FF0000"/>
          <w:sz w:val="18"/>
          <w:szCs w:val="18"/>
          <w:lang w:eastAsia="en-US"/>
        </w:rPr>
      </w:pPr>
    </w:p>
    <w:p w:rsidR="00266E36" w:rsidRPr="00266E36" w:rsidRDefault="00266E36" w:rsidP="00266E36">
      <w:pPr>
        <w:shd w:val="clear" w:color="auto" w:fill="FFFFFF"/>
        <w:ind w:firstLine="709"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266E36">
        <w:rPr>
          <w:rFonts w:eastAsia="Calibri"/>
          <w:color w:val="FF0000"/>
          <w:sz w:val="18"/>
          <w:szCs w:val="18"/>
          <w:lang w:eastAsia="en-US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нормируется.</w:t>
      </w:r>
    </w:p>
    <w:p w:rsidR="00266E36" w:rsidRPr="005A6E42" w:rsidRDefault="00266E36" w:rsidP="00266E36">
      <w:pPr>
        <w:widowControl w:val="0"/>
        <w:ind w:left="119" w:right="57" w:firstLine="709"/>
        <w:jc w:val="both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5A6E4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Велосипедные дорожки устраивают за пределами проезжей части дорог при соотношениях интенсивностей движения автомобилей и велос</w:t>
      </w:r>
      <w:r w:rsidR="001E03FC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ипедистов, указанных таблице 1.10</w:t>
      </w:r>
      <w:r w:rsidRPr="005A6E4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 xml:space="preserve"> б.</w:t>
      </w:r>
    </w:p>
    <w:p w:rsidR="005A6E42" w:rsidRPr="00266E36" w:rsidRDefault="005A6E42" w:rsidP="00266E36">
      <w:pPr>
        <w:widowControl w:val="0"/>
        <w:ind w:left="119" w:right="57" w:firstLine="709"/>
        <w:jc w:val="both"/>
        <w:rPr>
          <w:rFonts w:eastAsia="Calibri"/>
          <w:color w:val="FF0000"/>
          <w:spacing w:val="1"/>
          <w:sz w:val="18"/>
          <w:szCs w:val="18"/>
          <w:lang w:eastAsia="en-US"/>
        </w:rPr>
      </w:pPr>
    </w:p>
    <w:p w:rsidR="00266E36" w:rsidRPr="00266E36" w:rsidRDefault="00266E36" w:rsidP="00266E36">
      <w:pPr>
        <w:widowControl w:val="0"/>
        <w:ind w:left="120" w:firstLine="700"/>
        <w:jc w:val="both"/>
        <w:rPr>
          <w:rFonts w:eastAsia="Calibri"/>
          <w:color w:val="FF0000"/>
          <w:spacing w:val="1"/>
          <w:sz w:val="20"/>
          <w:szCs w:val="20"/>
          <w:lang w:eastAsia="en-US"/>
        </w:rPr>
      </w:pPr>
      <w:r w:rsidRPr="00266E36">
        <w:rPr>
          <w:rFonts w:eastAsia="Calibri"/>
          <w:b/>
          <w:color w:val="FF0000"/>
          <w:spacing w:val="1"/>
          <w:sz w:val="20"/>
          <w:szCs w:val="20"/>
          <w:lang w:eastAsia="en-US"/>
        </w:rPr>
        <w:t>Таблица 1.10 б - Расчетная интенсивность движения велосипедистов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1622"/>
        <w:gridCol w:w="2016"/>
        <w:gridCol w:w="1886"/>
      </w:tblGrid>
      <w:tr w:rsidR="005A6E42" w:rsidRPr="00266E36" w:rsidTr="00E41B6F">
        <w:trPr>
          <w:trHeight w:hRule="exact" w:val="1171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36" w:rsidRPr="00266E36" w:rsidRDefault="00266E36" w:rsidP="00266E36">
            <w:pPr>
              <w:widowControl w:val="0"/>
              <w:spacing w:line="274" w:lineRule="exact"/>
              <w:jc w:val="both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Интенсивность движения автомобилей</w:t>
            </w:r>
          </w:p>
          <w:p w:rsidR="00266E36" w:rsidRPr="00266E36" w:rsidRDefault="00266E36" w:rsidP="00266E36">
            <w:pPr>
              <w:widowControl w:val="0"/>
              <w:spacing w:line="274" w:lineRule="exact"/>
              <w:jc w:val="both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суммарная</w:t>
            </w:r>
            <w:proofErr w:type="gramEnd"/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 xml:space="preserve"> в двух направлениях), автомобилей/час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36" w:rsidRPr="00266E36" w:rsidRDefault="00266E36" w:rsidP="00266E36">
            <w:pPr>
              <w:widowControl w:val="0"/>
              <w:spacing w:line="210" w:lineRule="exact"/>
              <w:ind w:left="120"/>
              <w:jc w:val="center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до 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36" w:rsidRPr="00266E36" w:rsidRDefault="00266E36" w:rsidP="00266E36">
            <w:pPr>
              <w:widowControl w:val="0"/>
              <w:spacing w:line="210" w:lineRule="exact"/>
              <w:ind w:left="120"/>
              <w:jc w:val="center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36" w:rsidRPr="00266E36" w:rsidRDefault="00266E36" w:rsidP="00266E36">
            <w:pPr>
              <w:widowControl w:val="0"/>
              <w:spacing w:line="210" w:lineRule="exact"/>
              <w:ind w:left="120"/>
              <w:jc w:val="center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800</w:t>
            </w:r>
          </w:p>
        </w:tc>
      </w:tr>
      <w:tr w:rsidR="005A6E42" w:rsidRPr="00266E36" w:rsidTr="00E41B6F">
        <w:trPr>
          <w:trHeight w:hRule="exact" w:val="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E36" w:rsidRPr="00266E36" w:rsidRDefault="00266E36" w:rsidP="00266E36">
            <w:pPr>
              <w:widowControl w:val="0"/>
              <w:spacing w:line="278" w:lineRule="exact"/>
              <w:jc w:val="both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Расчетная интенсивность движения</w:t>
            </w:r>
          </w:p>
          <w:p w:rsidR="00266E36" w:rsidRPr="00266E36" w:rsidRDefault="00266E36" w:rsidP="00266E36">
            <w:pPr>
              <w:widowControl w:val="0"/>
              <w:spacing w:line="278" w:lineRule="exact"/>
              <w:jc w:val="both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велосипедистов,</w:t>
            </w:r>
          </w:p>
          <w:p w:rsidR="00266E36" w:rsidRPr="00266E36" w:rsidRDefault="00266E36" w:rsidP="00266E36">
            <w:pPr>
              <w:widowControl w:val="0"/>
              <w:spacing w:line="278" w:lineRule="exact"/>
              <w:jc w:val="both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велосипедов/час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E36" w:rsidRPr="00266E36" w:rsidRDefault="00266E36" w:rsidP="00266E36">
            <w:pPr>
              <w:widowControl w:val="0"/>
              <w:spacing w:line="210" w:lineRule="exact"/>
              <w:ind w:left="120"/>
              <w:jc w:val="center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E36" w:rsidRPr="00266E36" w:rsidRDefault="00266E36" w:rsidP="00266E36">
            <w:pPr>
              <w:widowControl w:val="0"/>
              <w:spacing w:line="210" w:lineRule="exact"/>
              <w:ind w:left="120"/>
              <w:jc w:val="center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E36" w:rsidRPr="00266E36" w:rsidRDefault="00266E36" w:rsidP="00266E36">
            <w:pPr>
              <w:widowControl w:val="0"/>
              <w:spacing w:line="210" w:lineRule="exact"/>
              <w:ind w:left="120"/>
              <w:jc w:val="center"/>
              <w:rPr>
                <w:rFonts w:ascii="Calibri" w:eastAsia="Calibri" w:hAnsi="Calibri"/>
                <w:color w:val="FF0000"/>
                <w:spacing w:val="1"/>
                <w:sz w:val="18"/>
                <w:szCs w:val="18"/>
              </w:rPr>
            </w:pPr>
            <w:r w:rsidRPr="005A6E42">
              <w:rPr>
                <w:rFonts w:eastAsia="Calibri"/>
                <w:color w:val="FF0000"/>
                <w:spacing w:val="3"/>
                <w:sz w:val="18"/>
                <w:szCs w:val="18"/>
                <w:shd w:val="clear" w:color="auto" w:fill="FFFFFF"/>
              </w:rPr>
              <w:t>30</w:t>
            </w:r>
          </w:p>
        </w:tc>
      </w:tr>
    </w:tbl>
    <w:p w:rsidR="00266E36" w:rsidRPr="00266E36" w:rsidRDefault="00266E36" w:rsidP="00266E36">
      <w:pPr>
        <w:ind w:firstLine="709"/>
        <w:jc w:val="both"/>
        <w:rPr>
          <w:rFonts w:eastAsia="Calibri"/>
          <w:color w:val="FF0000"/>
          <w:sz w:val="18"/>
          <w:szCs w:val="18"/>
          <w:lang w:eastAsia="en-US"/>
        </w:rPr>
      </w:pP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sz w:val="20"/>
          <w:szCs w:val="20"/>
        </w:rPr>
      </w:pPr>
      <w:r w:rsidRPr="00D53293">
        <w:rPr>
          <w:b/>
          <w:bCs/>
          <w:sz w:val="20"/>
          <w:szCs w:val="20"/>
        </w:rPr>
        <w:t xml:space="preserve">Таблица 1.10 – </w:t>
      </w:r>
      <w:r w:rsidRPr="00D53293">
        <w:rPr>
          <w:rFonts w:eastAsia="Calibri"/>
          <w:b/>
          <w:sz w:val="20"/>
          <w:szCs w:val="20"/>
          <w:lang w:eastAsia="en-US"/>
        </w:rPr>
        <w:t xml:space="preserve">Нормы расчета стоянок для индивидуального автомобильного транспорта 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8"/>
        <w:gridCol w:w="3664"/>
        <w:gridCol w:w="1417"/>
      </w:tblGrid>
      <w:tr w:rsidR="00D53293" w:rsidRPr="00D53293" w:rsidTr="0017672E">
        <w:trPr>
          <w:tblHeader/>
          <w:jc w:val="center"/>
        </w:trPr>
        <w:tc>
          <w:tcPr>
            <w:tcW w:w="45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bookmarkEnd w:id="1"/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Учреждения и предприятия обслуживания</w:t>
            </w:r>
          </w:p>
        </w:tc>
        <w:tc>
          <w:tcPr>
            <w:tcW w:w="36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B3072D">
              <w:rPr>
                <w:sz w:val="18"/>
                <w:szCs w:val="18"/>
              </w:rPr>
              <w:t>машиномест</w:t>
            </w:r>
            <w:proofErr w:type="spellEnd"/>
          </w:p>
        </w:tc>
      </w:tr>
      <w:tr w:rsidR="00D53293" w:rsidRPr="00D53293" w:rsidTr="0017672E">
        <w:trPr>
          <w:tblHeader/>
          <w:jc w:val="center"/>
        </w:trPr>
        <w:tc>
          <w:tcPr>
            <w:tcW w:w="4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3</w:t>
            </w:r>
          </w:p>
        </w:tc>
      </w:tr>
      <w:tr w:rsidR="00D53293" w:rsidRPr="00D53293" w:rsidTr="0017672E">
        <w:trPr>
          <w:jc w:val="center"/>
        </w:trPr>
        <w:tc>
          <w:tcPr>
            <w:tcW w:w="45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Административно-общественные учреждения</w:t>
            </w:r>
          </w:p>
        </w:tc>
        <w:tc>
          <w:tcPr>
            <w:tcW w:w="36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10 работающих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</w:tr>
      <w:tr w:rsidR="00D53293" w:rsidRPr="00D53293" w:rsidTr="0017672E">
        <w:trPr>
          <w:jc w:val="center"/>
        </w:trPr>
        <w:tc>
          <w:tcPr>
            <w:tcW w:w="4558" w:type="dxa"/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Спортивные залы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на 10 единовременных посетителей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</w:tr>
    </w:tbl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1.6 Инженерное обеспечение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  <w:sz w:val="20"/>
          <w:szCs w:val="20"/>
        </w:rPr>
      </w:pPr>
      <w:r w:rsidRPr="00D53293">
        <w:rPr>
          <w:b/>
          <w:i/>
          <w:sz w:val="20"/>
          <w:szCs w:val="20"/>
        </w:rPr>
        <w:t>1.6.1 Объекты водоснабжения и бытовой канализации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3072D">
        <w:rPr>
          <w:sz w:val="18"/>
          <w:szCs w:val="18"/>
        </w:rPr>
        <w:t xml:space="preserve">Удельное среднесуточное (за год) водопотребление  на хозяйственно-бытовые нужды населения следует принимать в соответствии с таблицей 1.11. 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18"/>
          <w:szCs w:val="18"/>
        </w:rPr>
      </w:pP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Таблица 1.11 – Нормы удельного водопотребления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4"/>
        <w:gridCol w:w="4695"/>
      </w:tblGrid>
      <w:tr w:rsidR="00D53293" w:rsidRPr="00B3072D" w:rsidTr="0017672E">
        <w:trPr>
          <w:trHeight w:val="671"/>
          <w:jc w:val="center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Степень благоустройства жилой застройки</w:t>
            </w:r>
          </w:p>
        </w:tc>
        <w:tc>
          <w:tcPr>
            <w:tcW w:w="4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pacing w:val="2"/>
                <w:sz w:val="18"/>
                <w:szCs w:val="18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B3072D">
              <w:rPr>
                <w:spacing w:val="2"/>
                <w:sz w:val="18"/>
                <w:szCs w:val="18"/>
              </w:rPr>
              <w:t>л</w:t>
            </w:r>
            <w:proofErr w:type="gramEnd"/>
            <w:r w:rsidRPr="00B3072D">
              <w:rPr>
                <w:spacing w:val="2"/>
                <w:sz w:val="18"/>
                <w:szCs w:val="18"/>
              </w:rPr>
              <w:t>/</w:t>
            </w:r>
            <w:proofErr w:type="spellStart"/>
            <w:r w:rsidRPr="00B3072D">
              <w:rPr>
                <w:spacing w:val="2"/>
                <w:sz w:val="18"/>
                <w:szCs w:val="18"/>
              </w:rPr>
              <w:t>сут</w:t>
            </w:r>
            <w:proofErr w:type="spellEnd"/>
          </w:p>
        </w:tc>
      </w:tr>
      <w:tr w:rsidR="00D53293" w:rsidRPr="00B3072D" w:rsidTr="0017672E">
        <w:trPr>
          <w:trHeight w:val="150"/>
          <w:jc w:val="center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 w:rsidRPr="00B3072D">
              <w:rPr>
                <w:spacing w:val="2"/>
                <w:sz w:val="18"/>
                <w:szCs w:val="18"/>
              </w:rPr>
              <w:t>2</w:t>
            </w:r>
          </w:p>
        </w:tc>
      </w:tr>
      <w:tr w:rsidR="00D53293" w:rsidRPr="00B3072D" w:rsidTr="0017672E">
        <w:trPr>
          <w:trHeight w:val="423"/>
          <w:jc w:val="center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Застройка зданиями с водопользованием из водоразборных колонок</w:t>
            </w:r>
          </w:p>
        </w:tc>
        <w:tc>
          <w:tcPr>
            <w:tcW w:w="46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50</w:t>
            </w:r>
          </w:p>
        </w:tc>
      </w:tr>
      <w:tr w:rsidR="00D53293" w:rsidRPr="00B3072D" w:rsidTr="0017672E">
        <w:trPr>
          <w:jc w:val="center"/>
        </w:trPr>
        <w:tc>
          <w:tcPr>
            <w:tcW w:w="4927" w:type="dxa"/>
            <w:tcBorders>
              <w:left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46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130</w:t>
            </w:r>
          </w:p>
        </w:tc>
      </w:tr>
      <w:tr w:rsidR="00D53293" w:rsidRPr="00B3072D" w:rsidTr="0017672E">
        <w:trPr>
          <w:jc w:val="center"/>
        </w:trPr>
        <w:tc>
          <w:tcPr>
            <w:tcW w:w="49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Застройка зданиями, 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46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180</w:t>
            </w:r>
          </w:p>
        </w:tc>
      </w:tr>
    </w:tbl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B3072D">
        <w:rPr>
          <w:rFonts w:eastAsia="Calibri"/>
          <w:sz w:val="18"/>
          <w:szCs w:val="18"/>
        </w:rPr>
        <w:t xml:space="preserve">Коэффициент суточной неравномерности водопотребления </w:t>
      </w:r>
      <w:proofErr w:type="spellStart"/>
      <w:r w:rsidRPr="00B3072D">
        <w:rPr>
          <w:rFonts w:eastAsia="Calibri"/>
          <w:sz w:val="18"/>
          <w:szCs w:val="18"/>
        </w:rPr>
        <w:t>К</w:t>
      </w:r>
      <w:r w:rsidRPr="00B3072D">
        <w:rPr>
          <w:rFonts w:eastAsia="Calibri"/>
          <w:sz w:val="18"/>
          <w:szCs w:val="18"/>
          <w:vertAlign w:val="subscript"/>
        </w:rPr>
        <w:t>сут</w:t>
      </w:r>
      <w:proofErr w:type="spellEnd"/>
      <w:r w:rsidRPr="00B3072D">
        <w:rPr>
          <w:rFonts w:eastAsia="Calibri"/>
          <w:sz w:val="18"/>
          <w:szCs w:val="18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принимать равным: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Calibri"/>
          <w:i/>
          <w:sz w:val="18"/>
          <w:szCs w:val="18"/>
        </w:rPr>
      </w:pPr>
      <w:proofErr w:type="spellStart"/>
      <w:proofErr w:type="gramStart"/>
      <w:r w:rsidRPr="00B3072D">
        <w:rPr>
          <w:rFonts w:eastAsia="Calibri"/>
          <w:i/>
          <w:sz w:val="18"/>
          <w:szCs w:val="18"/>
        </w:rPr>
        <w:t>K</w:t>
      </w:r>
      <w:proofErr w:type="gramEnd"/>
      <w:r w:rsidRPr="00B3072D">
        <w:rPr>
          <w:rFonts w:eastAsia="Calibri"/>
          <w:i/>
          <w:sz w:val="18"/>
          <w:szCs w:val="18"/>
          <w:vertAlign w:val="subscript"/>
        </w:rPr>
        <w:t>сут.max</w:t>
      </w:r>
      <w:proofErr w:type="spellEnd"/>
      <w:r w:rsidRPr="00B3072D">
        <w:rPr>
          <w:rFonts w:eastAsia="Calibri"/>
          <w:i/>
          <w:sz w:val="18"/>
          <w:szCs w:val="18"/>
        </w:rPr>
        <w:t xml:space="preserve"> = 1,2;  </w:t>
      </w:r>
      <w:proofErr w:type="spellStart"/>
      <w:r w:rsidRPr="00B3072D">
        <w:rPr>
          <w:rFonts w:eastAsia="Calibri"/>
          <w:i/>
          <w:sz w:val="18"/>
          <w:szCs w:val="18"/>
        </w:rPr>
        <w:t>K</w:t>
      </w:r>
      <w:r w:rsidRPr="00B3072D">
        <w:rPr>
          <w:rFonts w:eastAsia="Calibri"/>
          <w:i/>
          <w:sz w:val="18"/>
          <w:szCs w:val="18"/>
          <w:vertAlign w:val="subscript"/>
        </w:rPr>
        <w:t>сут.min</w:t>
      </w:r>
      <w:proofErr w:type="spellEnd"/>
      <w:r w:rsidRPr="00B3072D">
        <w:rPr>
          <w:rFonts w:eastAsia="Calibri"/>
          <w:i/>
          <w:sz w:val="18"/>
          <w:szCs w:val="18"/>
        </w:rPr>
        <w:t xml:space="preserve"> = 0,8.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3072D">
        <w:rPr>
          <w:sz w:val="18"/>
          <w:szCs w:val="18"/>
        </w:rPr>
        <w:t>Удельные расходы на полив принимаются равными 50 л/</w:t>
      </w:r>
      <w:proofErr w:type="spellStart"/>
      <w:r w:rsidRPr="00B3072D">
        <w:rPr>
          <w:sz w:val="18"/>
          <w:szCs w:val="18"/>
        </w:rPr>
        <w:t>сут·человека</w:t>
      </w:r>
      <w:proofErr w:type="spellEnd"/>
      <w:r w:rsidRPr="00B3072D">
        <w:rPr>
          <w:sz w:val="18"/>
          <w:szCs w:val="18"/>
        </w:rPr>
        <w:t>.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3072D">
        <w:rPr>
          <w:sz w:val="18"/>
          <w:szCs w:val="18"/>
        </w:rPr>
        <w:t xml:space="preserve">Удельное водоотведение в </w:t>
      </w:r>
      <w:proofErr w:type="spellStart"/>
      <w:r w:rsidRPr="00B3072D">
        <w:rPr>
          <w:sz w:val="18"/>
          <w:szCs w:val="18"/>
        </w:rPr>
        <w:t>неканализованных</w:t>
      </w:r>
      <w:proofErr w:type="spellEnd"/>
      <w:r w:rsidRPr="00B3072D">
        <w:rPr>
          <w:sz w:val="18"/>
          <w:szCs w:val="18"/>
        </w:rPr>
        <w:t xml:space="preserve"> районах следует принимать 25 л/</w:t>
      </w:r>
      <w:proofErr w:type="spellStart"/>
      <w:r w:rsidRPr="00B3072D">
        <w:rPr>
          <w:sz w:val="18"/>
          <w:szCs w:val="18"/>
        </w:rPr>
        <w:t>сут</w:t>
      </w:r>
      <w:proofErr w:type="spellEnd"/>
      <w:r w:rsidRPr="00B3072D">
        <w:rPr>
          <w:sz w:val="18"/>
          <w:szCs w:val="18"/>
        </w:rPr>
        <w:t xml:space="preserve"> на одного жителя.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  <w:sz w:val="20"/>
          <w:szCs w:val="20"/>
        </w:rPr>
      </w:pPr>
      <w:r w:rsidRPr="00D53293">
        <w:rPr>
          <w:b/>
          <w:i/>
          <w:sz w:val="20"/>
          <w:szCs w:val="20"/>
        </w:rPr>
        <w:t>1.6.2 Объекты теплоснабжения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При разработке документов территориального планирования следует принимать удельные показатели расхода тепловой энергии, приведённые в таблице 1.12.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lastRenderedPageBreak/>
        <w:t>Таблице 1.12 – Удельный расход тепловой энергии на отопление зданий  ккал/час на м</w:t>
      </w:r>
      <w:proofErr w:type="gramStart"/>
      <w:r w:rsidRPr="00D53293">
        <w:rPr>
          <w:b/>
          <w:sz w:val="20"/>
          <w:szCs w:val="20"/>
          <w:vertAlign w:val="superscript"/>
        </w:rPr>
        <w:t>2</w:t>
      </w:r>
      <w:proofErr w:type="gramEnd"/>
      <w:r w:rsidRPr="00D53293">
        <w:rPr>
          <w:b/>
          <w:sz w:val="20"/>
          <w:szCs w:val="20"/>
        </w:rPr>
        <w:t xml:space="preserve"> (ккал/час на м</w:t>
      </w:r>
      <w:r w:rsidRPr="00D53293">
        <w:rPr>
          <w:b/>
          <w:sz w:val="20"/>
          <w:szCs w:val="20"/>
          <w:vertAlign w:val="superscript"/>
        </w:rPr>
        <w:t>3</w:t>
      </w:r>
      <w:r w:rsidRPr="00D53293">
        <w:rPr>
          <w:b/>
          <w:sz w:val="20"/>
          <w:szCs w:val="20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275"/>
        <w:gridCol w:w="1188"/>
        <w:gridCol w:w="1364"/>
      </w:tblGrid>
      <w:tr w:rsidR="00D53293" w:rsidRPr="00B3072D" w:rsidTr="0017672E">
        <w:trPr>
          <w:tblHeader/>
        </w:trPr>
        <w:tc>
          <w:tcPr>
            <w:tcW w:w="5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Типы зданий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Удельные показатели расхода тепловой энергии на отопление зданий ккал/час на м</w:t>
            </w:r>
            <w:proofErr w:type="gramStart"/>
            <w:r w:rsidRPr="00B3072D">
              <w:rPr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B3072D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B3072D">
              <w:rPr>
                <w:sz w:val="18"/>
                <w:szCs w:val="18"/>
                <w:lang w:eastAsia="en-US"/>
              </w:rPr>
              <w:t xml:space="preserve"> или (ккал/час на м</w:t>
            </w:r>
            <w:r w:rsidRPr="00B3072D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B3072D">
              <w:rPr>
                <w:sz w:val="18"/>
                <w:szCs w:val="18"/>
                <w:lang w:eastAsia="en-US"/>
              </w:rPr>
              <w:t>) в зависимости от этажности зданий</w:t>
            </w:r>
          </w:p>
        </w:tc>
      </w:tr>
      <w:tr w:rsidR="00D53293" w:rsidRPr="00B3072D" w:rsidTr="0017672E">
        <w:trPr>
          <w:tblHeader/>
        </w:trPr>
        <w:tc>
          <w:tcPr>
            <w:tcW w:w="55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D53293" w:rsidRPr="00B3072D" w:rsidTr="0017672E">
        <w:trPr>
          <w:tblHeader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D53293" w:rsidRPr="00B3072D" w:rsidTr="0017672E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  <w:proofErr w:type="gramStart"/>
            <w:r w:rsidRPr="00B3072D">
              <w:rPr>
                <w:rFonts w:eastAsia="Calibri"/>
                <w:sz w:val="18"/>
                <w:szCs w:val="18"/>
                <w:lang w:eastAsia="en-US"/>
              </w:rPr>
              <w:t>Общественные</w:t>
            </w:r>
            <w:proofErr w:type="gramEnd"/>
            <w:r w:rsidRPr="00B3072D">
              <w:rPr>
                <w:rFonts w:eastAsia="Calibri"/>
                <w:sz w:val="18"/>
                <w:szCs w:val="18"/>
                <w:lang w:eastAsia="en-US"/>
              </w:rPr>
              <w:t>, кроме перечисленных в строках 2-4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84,50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76,20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72,30</w:t>
            </w:r>
          </w:p>
        </w:tc>
      </w:tr>
      <w:tr w:rsidR="00D53293" w:rsidRPr="00B3072D" w:rsidTr="0017672E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sz w:val="18"/>
                <w:szCs w:val="18"/>
                <w:lang w:eastAsia="en-US"/>
              </w:rPr>
              <w:t>2. Поликлиники и лечебные учреждения, дома-интернаты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82,70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80,50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78,30</w:t>
            </w:r>
          </w:p>
        </w:tc>
      </w:tr>
      <w:tr w:rsidR="00D53293" w:rsidRPr="00B3072D" w:rsidTr="0017672E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sz w:val="18"/>
                <w:szCs w:val="18"/>
                <w:lang w:eastAsia="en-US"/>
              </w:rPr>
              <w:t>3. Дошкольные учреждения, хосписы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80,10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80,10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80,10</w:t>
            </w:r>
          </w:p>
        </w:tc>
      </w:tr>
      <w:tr w:rsidR="00D53293" w:rsidRPr="00B3072D" w:rsidTr="0017672E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3072D">
              <w:rPr>
                <w:rFonts w:eastAsia="Calibri"/>
                <w:sz w:val="18"/>
                <w:szCs w:val="18"/>
                <w:lang w:eastAsia="en-US"/>
              </w:rPr>
              <w:t>4. Сервисного обслуживания, культурно - досуговой деятельности, технопарки, склады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(12,50)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(12,10)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53293" w:rsidRPr="00B3072D" w:rsidRDefault="00D53293" w:rsidP="00D53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3072D">
              <w:rPr>
                <w:sz w:val="18"/>
                <w:szCs w:val="18"/>
                <w:lang w:eastAsia="en-US"/>
              </w:rPr>
              <w:t>(11,20)</w:t>
            </w:r>
          </w:p>
        </w:tc>
      </w:tr>
    </w:tbl>
    <w:p w:rsidR="00D53293" w:rsidRPr="00B3072D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  <w:sz w:val="18"/>
          <w:szCs w:val="18"/>
        </w:rPr>
      </w:pP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  <w:sz w:val="20"/>
          <w:szCs w:val="20"/>
        </w:rPr>
      </w:pPr>
      <w:r w:rsidRPr="00D53293">
        <w:rPr>
          <w:b/>
          <w:i/>
          <w:sz w:val="20"/>
          <w:szCs w:val="20"/>
        </w:rPr>
        <w:t>1.6.3 Объекты электроснабжения</w:t>
      </w:r>
    </w:p>
    <w:p w:rsidR="00D53293" w:rsidRPr="00B3072D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3072D">
        <w:rPr>
          <w:sz w:val="18"/>
          <w:szCs w:val="18"/>
        </w:rPr>
        <w:t>Расчётные показатели электропотребления с учетом коэффициента благоустройства населенных пунктов представлены в таблице 1.13.</w:t>
      </w:r>
    </w:p>
    <w:p w:rsidR="00D53293" w:rsidRPr="00D53293" w:rsidRDefault="00D53293" w:rsidP="00D53293">
      <w:pPr>
        <w:autoSpaceDN w:val="0"/>
        <w:spacing w:before="120" w:after="120"/>
        <w:ind w:left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Таблица 1.13 – Расчётные показатели электропотребления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0"/>
        <w:gridCol w:w="3419"/>
      </w:tblGrid>
      <w:tr w:rsidR="00D53293" w:rsidRPr="00B3072D" w:rsidTr="0017672E">
        <w:trPr>
          <w:trHeight w:val="462"/>
          <w:jc w:val="center"/>
        </w:trPr>
        <w:tc>
          <w:tcPr>
            <w:tcW w:w="6220" w:type="dxa"/>
            <w:tcBorders>
              <w:bottom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Степень благоустройства жилой застройки</w:t>
            </w:r>
          </w:p>
        </w:tc>
        <w:tc>
          <w:tcPr>
            <w:tcW w:w="3419" w:type="dxa"/>
            <w:tcBorders>
              <w:bottom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 xml:space="preserve">Электропотребление,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кВт∙ч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год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на 1 чел.</m:t>
              </m:r>
            </m:oMath>
          </w:p>
        </w:tc>
      </w:tr>
      <w:tr w:rsidR="00D53293" w:rsidRPr="00B3072D" w:rsidTr="0017672E">
        <w:trPr>
          <w:jc w:val="center"/>
        </w:trPr>
        <w:tc>
          <w:tcPr>
            <w:tcW w:w="6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2</w:t>
            </w:r>
          </w:p>
        </w:tc>
      </w:tr>
      <w:tr w:rsidR="00D53293" w:rsidRPr="00B3072D" w:rsidTr="0017672E">
        <w:trPr>
          <w:trHeight w:val="254"/>
          <w:jc w:val="center"/>
        </w:trPr>
        <w:tc>
          <w:tcPr>
            <w:tcW w:w="6220" w:type="dxa"/>
            <w:tcBorders>
              <w:top w:val="single" w:sz="12" w:space="0" w:color="auto"/>
            </w:tcBorders>
            <w:shd w:val="clear" w:color="auto" w:fill="auto"/>
          </w:tcPr>
          <w:p w:rsidR="00D53293" w:rsidRPr="00B3072D" w:rsidRDefault="00D53293" w:rsidP="00D53293">
            <w:pPr>
              <w:autoSpaceDN w:val="0"/>
              <w:contextualSpacing/>
              <w:jc w:val="both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 xml:space="preserve">Не </w:t>
            </w:r>
            <w:proofErr w:type="gramStart"/>
            <w:r w:rsidRPr="00B3072D">
              <w:rPr>
                <w:sz w:val="18"/>
                <w:szCs w:val="18"/>
              </w:rPr>
              <w:t>оборудованная</w:t>
            </w:r>
            <w:proofErr w:type="gramEnd"/>
            <w:r w:rsidRPr="00B3072D">
              <w:rPr>
                <w:sz w:val="18"/>
                <w:szCs w:val="18"/>
              </w:rPr>
              <w:t xml:space="preserve"> стационарными     электроплитами</w:t>
            </w:r>
          </w:p>
        </w:tc>
        <w:tc>
          <w:tcPr>
            <w:tcW w:w="3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293" w:rsidRPr="00B3072D" w:rsidRDefault="00D53293" w:rsidP="00D53293">
            <w:pPr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950</w:t>
            </w:r>
          </w:p>
        </w:tc>
      </w:tr>
      <w:tr w:rsidR="00D53293" w:rsidRPr="00B3072D" w:rsidTr="0017672E">
        <w:trPr>
          <w:trHeight w:val="287"/>
          <w:jc w:val="center"/>
        </w:trPr>
        <w:tc>
          <w:tcPr>
            <w:tcW w:w="6220" w:type="dxa"/>
            <w:shd w:val="clear" w:color="auto" w:fill="auto"/>
          </w:tcPr>
          <w:p w:rsidR="00D53293" w:rsidRPr="00B3072D" w:rsidRDefault="00D53293" w:rsidP="00D53293">
            <w:pPr>
              <w:autoSpaceDN w:val="0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B3072D">
              <w:rPr>
                <w:sz w:val="18"/>
                <w:szCs w:val="18"/>
              </w:rPr>
              <w:t>Оборудованные</w:t>
            </w:r>
            <w:proofErr w:type="gramEnd"/>
            <w:r w:rsidRPr="00B3072D">
              <w:rPr>
                <w:sz w:val="18"/>
                <w:szCs w:val="18"/>
              </w:rPr>
              <w:t xml:space="preserve"> стационарными электроплитами  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53293" w:rsidRPr="00B3072D" w:rsidRDefault="00D53293" w:rsidP="00D53293">
            <w:pPr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B3072D">
              <w:rPr>
                <w:sz w:val="18"/>
                <w:szCs w:val="18"/>
              </w:rPr>
              <w:t>1350</w:t>
            </w:r>
          </w:p>
        </w:tc>
      </w:tr>
    </w:tbl>
    <w:p w:rsidR="00D53293" w:rsidRPr="00B3072D" w:rsidRDefault="00D53293" w:rsidP="00D532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b/>
          <w:i/>
          <w:sz w:val="18"/>
          <w:szCs w:val="18"/>
        </w:rPr>
      </w:pPr>
      <w:r w:rsidRPr="00B3072D">
        <w:rPr>
          <w:i/>
          <w:sz w:val="18"/>
          <w:szCs w:val="18"/>
        </w:rPr>
        <w:t>Примечание: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D53293">
        <w:rPr>
          <w:b/>
          <w:i/>
          <w:color w:val="000000"/>
          <w:sz w:val="20"/>
          <w:szCs w:val="20"/>
        </w:rPr>
        <w:t xml:space="preserve">1.6.4 </w:t>
      </w:r>
      <w:r w:rsidRPr="00D53293">
        <w:rPr>
          <w:rFonts w:eastAsia="Calibri"/>
          <w:b/>
          <w:i/>
          <w:sz w:val="20"/>
          <w:szCs w:val="20"/>
          <w:lang w:eastAsia="en-US"/>
        </w:rPr>
        <w:t>Объекты, предназначенные для сбора твердых коммунальных отходов</w:t>
      </w:r>
    </w:p>
    <w:p w:rsidR="00D53293" w:rsidRPr="00B3072D" w:rsidRDefault="00D53293" w:rsidP="00D53293">
      <w:pPr>
        <w:ind w:firstLine="709"/>
        <w:jc w:val="both"/>
        <w:outlineLvl w:val="0"/>
        <w:rPr>
          <w:rFonts w:eastAsia="Calibri"/>
          <w:b/>
          <w:bCs/>
          <w:sz w:val="18"/>
          <w:szCs w:val="18"/>
          <w:lang w:eastAsia="en-US"/>
        </w:rPr>
      </w:pPr>
      <w:r w:rsidRPr="00B3072D">
        <w:rPr>
          <w:rFonts w:eastAsia="Calibri"/>
          <w:sz w:val="18"/>
          <w:szCs w:val="18"/>
        </w:rPr>
        <w:t>Максимально допустимый уровень доступности для населения до площадок под контейнеры принимается по таблице 1.14.</w:t>
      </w:r>
    </w:p>
    <w:p w:rsidR="00B3072D" w:rsidRDefault="00B3072D" w:rsidP="00D53293">
      <w:pPr>
        <w:spacing w:before="120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B3072D" w:rsidRDefault="00B3072D" w:rsidP="00D53293">
      <w:pPr>
        <w:spacing w:before="120"/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D53293" w:rsidRPr="00D53293" w:rsidRDefault="00D53293" w:rsidP="00D53293">
      <w:pPr>
        <w:spacing w:before="120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 xml:space="preserve">Таблица 1.14 – </w:t>
      </w:r>
      <w:r w:rsidRPr="00D53293">
        <w:rPr>
          <w:rFonts w:eastAsia="Calibri"/>
          <w:b/>
          <w:sz w:val="20"/>
          <w:szCs w:val="20"/>
        </w:rPr>
        <w:t>Максимально допустимый уровень доступности для населения до площадок под контейнеры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225"/>
        <w:gridCol w:w="2472"/>
      </w:tblGrid>
      <w:tr w:rsidR="00D53293" w:rsidRPr="00B3072D" w:rsidTr="0017672E">
        <w:trPr>
          <w:cantSplit/>
          <w:trHeight w:val="194"/>
          <w:jc w:val="center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Наименование объектов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 xml:space="preserve">Показатель </w:t>
            </w:r>
          </w:p>
        </w:tc>
      </w:tr>
      <w:tr w:rsidR="00D53293" w:rsidRPr="00B3072D" w:rsidTr="0017672E">
        <w:trPr>
          <w:cantSplit/>
          <w:trHeight w:val="199"/>
          <w:jc w:val="center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307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53293" w:rsidRPr="00B3072D" w:rsidTr="0017672E">
        <w:trPr>
          <w:cantSplit/>
          <w:trHeight w:val="216"/>
          <w:jc w:val="center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Площадки под контейнеры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53293" w:rsidRPr="00B3072D" w:rsidRDefault="00D53293" w:rsidP="00D532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72D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D53293" w:rsidRPr="00B3072D" w:rsidRDefault="00D53293" w:rsidP="00D5329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i/>
          <w:sz w:val="18"/>
          <w:szCs w:val="18"/>
          <w:highlight w:val="lightGray"/>
        </w:rPr>
      </w:pPr>
    </w:p>
    <w:p w:rsidR="00D53293" w:rsidRPr="00B3072D" w:rsidRDefault="00D53293" w:rsidP="00D53293">
      <w:pPr>
        <w:suppressAutoHyphens/>
        <w:overflowPunct w:val="0"/>
        <w:autoSpaceDE w:val="0"/>
        <w:autoSpaceDN w:val="0"/>
        <w:adjustRightInd w:val="0"/>
        <w:jc w:val="both"/>
        <w:rPr>
          <w:b/>
          <w:sz w:val="18"/>
          <w:szCs w:val="18"/>
          <w:highlight w:val="lightGray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53293" w:rsidRP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53293">
        <w:rPr>
          <w:sz w:val="20"/>
          <w:szCs w:val="20"/>
        </w:rPr>
        <w:t>Приложение 1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spacing w:before="240" w:after="120"/>
        <w:ind w:firstLine="709"/>
        <w:jc w:val="center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>Термины и определения</w:t>
      </w:r>
    </w:p>
    <w:p w:rsidR="00D53293" w:rsidRPr="00D53293" w:rsidRDefault="00D53293" w:rsidP="00D53293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53293">
        <w:rPr>
          <w:sz w:val="20"/>
          <w:szCs w:val="20"/>
        </w:rPr>
        <w:t>В настоящем документе применены следующие термины и их определения: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>Местные нормативы градостроительного проектирования</w:t>
      </w:r>
      <w:r w:rsidRPr="00D53293">
        <w:rPr>
          <w:rFonts w:eastAsia="Calibri"/>
          <w:sz w:val="20"/>
          <w:szCs w:val="20"/>
          <w:lang w:eastAsia="en-US"/>
        </w:rPr>
        <w:t xml:space="preserve"> – утвержденный в соответствии с Градостроительным кодексом Российской Федерации нормативный правовой акт поселения, содержащий минимальные расчетные показатели обеспечения благоприятных условий жизнедеятельности человека в отношении объектов, функционирование которых связанно с решением вопросов местного значения.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>Частный жилищный фонд</w:t>
      </w:r>
      <w:r w:rsidRPr="00D53293">
        <w:rPr>
          <w:rFonts w:eastAsia="Calibri"/>
          <w:sz w:val="20"/>
          <w:szCs w:val="20"/>
          <w:lang w:eastAsia="en-US"/>
        </w:rPr>
        <w:t xml:space="preserve"> – совокупность жилых помещений, находящихся в собственности граждан и в собственности юридических лиц;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>Муниципальный жилищный фонд</w:t>
      </w:r>
      <w:r w:rsidRPr="00D53293">
        <w:rPr>
          <w:rFonts w:eastAsia="Calibri"/>
          <w:sz w:val="20"/>
          <w:szCs w:val="20"/>
          <w:lang w:eastAsia="en-US"/>
        </w:rPr>
        <w:t xml:space="preserve"> – совокупность жилых помещений, принадлежащих на праве собственности муниципальному образованию;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>Озелененные территории общего пользования</w:t>
      </w:r>
      <w:r w:rsidRPr="00D53293">
        <w:rPr>
          <w:rFonts w:eastAsia="Calibri"/>
          <w:sz w:val="20"/>
          <w:szCs w:val="20"/>
          <w:lang w:eastAsia="en-US"/>
        </w:rPr>
        <w:t xml:space="preserve">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D53293">
        <w:rPr>
          <w:rFonts w:eastAsia="Calibri"/>
          <w:sz w:val="20"/>
          <w:szCs w:val="20"/>
          <w:lang w:eastAsia="en-US"/>
        </w:rPr>
        <w:t>минипарки</w:t>
      </w:r>
      <w:proofErr w:type="spellEnd"/>
      <w:r w:rsidRPr="00D53293">
        <w:rPr>
          <w:rFonts w:eastAsia="Calibri"/>
          <w:sz w:val="20"/>
          <w:szCs w:val="20"/>
          <w:lang w:eastAsia="en-US"/>
        </w:rPr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>Место массового отдыха</w:t>
      </w:r>
      <w:r w:rsidRPr="00D53293">
        <w:rPr>
          <w:rFonts w:eastAsia="Calibri"/>
          <w:sz w:val="20"/>
          <w:szCs w:val="20"/>
          <w:lang w:eastAsia="en-US"/>
        </w:rPr>
        <w:t xml:space="preserve">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>Зона массового кратковременного отдыха</w:t>
      </w:r>
      <w:r w:rsidRPr="00D53293">
        <w:rPr>
          <w:rFonts w:eastAsia="Calibri"/>
          <w:sz w:val="20"/>
          <w:szCs w:val="20"/>
          <w:lang w:eastAsia="en-US"/>
        </w:rPr>
        <w:t xml:space="preserve"> – территория, предназначенная для организованного отдыха людей, включающая в себя интенсивно используемую часть с размещением объектов и неинтенсивно используемую часть без размещения капитальных объектов.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D53293">
        <w:rPr>
          <w:rFonts w:eastAsia="Calibri"/>
          <w:b/>
          <w:sz w:val="20"/>
          <w:szCs w:val="20"/>
          <w:lang w:eastAsia="en-US"/>
        </w:rPr>
        <w:t>Автомобильная дорога (дорога)</w:t>
      </w:r>
      <w:r w:rsidRPr="00D53293">
        <w:rPr>
          <w:rFonts w:eastAsia="Calibri"/>
          <w:sz w:val="20"/>
          <w:szCs w:val="20"/>
          <w:lang w:eastAsia="en-US"/>
        </w:rPr>
        <w:t xml:space="preserve"> – часть территории населенных пунктов поселения, определяемая в соответствии с абзацем восьмым статьи 2 Федерального закона от 10 декабря 1995 г. № 196-ФЗ «О безопасности дорожного движения», пунктом 1 статьи 3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D53293">
        <w:rPr>
          <w:rFonts w:eastAsia="Calibri"/>
          <w:sz w:val="20"/>
          <w:szCs w:val="20"/>
          <w:lang w:eastAsia="en-US"/>
        </w:rPr>
        <w:t>» – территория, находящаяся в границах полос отвода - красных линий, которые в соответствии с пунктом 11 статьи 1 Градостроительного кодекса Российской Федерации обозначают существующие, планируемые (изменяемые, вновь образуемые) границы земельных участков расположения дороги, предназначенной для движения в соответствующих случаях автомобилей, общественного транспорта, пешеходов.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инфраструктуры, а также для устройства инженерных коммуникаций, включая устройство линий электропередачи, линий связи (подземных и надземных);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53293">
        <w:rPr>
          <w:rFonts w:eastAsia="Calibri"/>
          <w:b/>
          <w:sz w:val="20"/>
          <w:szCs w:val="20"/>
          <w:lang w:eastAsia="en-US"/>
        </w:rPr>
        <w:t>Улица</w:t>
      </w:r>
      <w:r w:rsidRPr="00D53293">
        <w:rPr>
          <w:rFonts w:eastAsia="Calibri"/>
          <w:sz w:val="20"/>
          <w:szCs w:val="20"/>
          <w:lang w:eastAsia="en-US"/>
        </w:rPr>
        <w:t xml:space="preserve"> – дорога, расположенная в пределах функциональных зон застроенных территорий населенных пунктов, </w:t>
      </w:r>
      <w:proofErr w:type="gramStart"/>
      <w:r w:rsidRPr="00D53293">
        <w:rPr>
          <w:rFonts w:eastAsia="Calibri"/>
          <w:sz w:val="20"/>
          <w:szCs w:val="20"/>
          <w:lang w:eastAsia="en-US"/>
        </w:rPr>
        <w:t>границы</w:t>
      </w:r>
      <w:proofErr w:type="gramEnd"/>
      <w:r w:rsidRPr="00D53293">
        <w:rPr>
          <w:rFonts w:eastAsia="Calibri"/>
          <w:sz w:val="20"/>
          <w:szCs w:val="20"/>
          <w:lang w:eastAsia="en-US"/>
        </w:rPr>
        <w:t xml:space="preserve"> которой в виде красных линий являются одновременно границами элементов планировочной структуры – кварталов;</w:t>
      </w:r>
    </w:p>
    <w:p w:rsidR="00D53293" w:rsidRPr="00D53293" w:rsidRDefault="00D53293" w:rsidP="00D5329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D53293">
        <w:rPr>
          <w:rFonts w:eastAsia="Calibri"/>
          <w:b/>
          <w:sz w:val="20"/>
          <w:szCs w:val="20"/>
          <w:lang w:eastAsia="en-US"/>
        </w:rPr>
        <w:t>Проезды</w:t>
      </w:r>
      <w:r w:rsidRPr="00D53293">
        <w:rPr>
          <w:rFonts w:eastAsia="Calibri"/>
          <w:sz w:val="20"/>
          <w:szCs w:val="20"/>
          <w:lang w:eastAsia="en-US"/>
        </w:rPr>
        <w:t xml:space="preserve"> – подъезды со сквозным движением (когда место выезда не совпадает с местом въезда) через квартал, создание которых допускается в исключительных случаях только для автомобилей специального назначения, когда в сложившейся застройке невозможно создать, оборудовать улицы;</w:t>
      </w:r>
      <w:proofErr w:type="gramEnd"/>
    </w:p>
    <w:p w:rsidR="00D53293" w:rsidRPr="00D53293" w:rsidRDefault="00D53293" w:rsidP="00D5329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53293">
        <w:rPr>
          <w:b/>
          <w:sz w:val="20"/>
          <w:szCs w:val="20"/>
        </w:rPr>
        <w:t>Протяженность сети автомобильных дорог общего пользования</w:t>
      </w:r>
      <w:r w:rsidRPr="00D53293">
        <w:rPr>
          <w:sz w:val="20"/>
          <w:szCs w:val="20"/>
        </w:rPr>
        <w:t xml:space="preserve"> – суммарная протяженность участков автомобильных дорог, образующих сеть автомобильных дорог общего пользования;</w:t>
      </w:r>
    </w:p>
    <w:p w:rsidR="00D53293" w:rsidRPr="00D53293" w:rsidRDefault="00D53293" w:rsidP="00D532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D53293" w:rsidRPr="00D53293" w:rsidRDefault="00D53293" w:rsidP="00D5329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D53293">
        <w:rPr>
          <w:b/>
          <w:sz w:val="20"/>
          <w:szCs w:val="20"/>
        </w:rPr>
        <w:t>Красные линии</w:t>
      </w:r>
      <w:r w:rsidRPr="00D53293">
        <w:rPr>
          <w:sz w:val="20"/>
          <w:szCs w:val="20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  <w:proofErr w:type="gramEnd"/>
    </w:p>
    <w:p w:rsidR="00D53293" w:rsidRPr="00D53293" w:rsidRDefault="00D53293" w:rsidP="00D53293">
      <w:pPr>
        <w:ind w:firstLine="709"/>
        <w:jc w:val="both"/>
        <w:rPr>
          <w:b/>
          <w:sz w:val="20"/>
          <w:szCs w:val="20"/>
        </w:rPr>
      </w:pPr>
      <w:r w:rsidRPr="00D53293">
        <w:rPr>
          <w:b/>
          <w:sz w:val="20"/>
          <w:szCs w:val="20"/>
        </w:rPr>
        <w:t xml:space="preserve">Остановка общественного транспорта – </w:t>
      </w:r>
      <w:r w:rsidRPr="00D53293">
        <w:rPr>
          <w:sz w:val="20"/>
          <w:szCs w:val="20"/>
        </w:rPr>
        <w:t>специально отведённая территория, предназначенная для посадки/высадки пассажиров общественного транспорта.</w:t>
      </w:r>
    </w:p>
    <w:p w:rsidR="00D53293" w:rsidRPr="00D53293" w:rsidRDefault="00D53293" w:rsidP="00D53293">
      <w:pPr>
        <w:ind w:firstLine="709"/>
        <w:jc w:val="both"/>
        <w:rPr>
          <w:sz w:val="20"/>
          <w:szCs w:val="20"/>
        </w:rPr>
      </w:pPr>
      <w:r w:rsidRPr="00D53293">
        <w:rPr>
          <w:b/>
          <w:sz w:val="20"/>
          <w:szCs w:val="20"/>
        </w:rPr>
        <w:t>Хранение</w:t>
      </w:r>
      <w:r w:rsidRPr="00D53293">
        <w:rPr>
          <w:sz w:val="20"/>
          <w:szCs w:val="20"/>
        </w:rPr>
        <w:t xml:space="preserve"> – пребывание автотранспортных средств, принадлежащих постоянному населению, по месту регистрации автотранспортных средств.</w:t>
      </w:r>
    </w:p>
    <w:p w:rsidR="00D53293" w:rsidRPr="00D53293" w:rsidRDefault="00D53293" w:rsidP="00D53293">
      <w:pPr>
        <w:ind w:firstLine="709"/>
        <w:jc w:val="both"/>
        <w:rPr>
          <w:sz w:val="20"/>
          <w:szCs w:val="20"/>
        </w:rPr>
      </w:pPr>
      <w:proofErr w:type="spellStart"/>
      <w:r w:rsidRPr="00D53293">
        <w:rPr>
          <w:b/>
          <w:sz w:val="20"/>
          <w:szCs w:val="20"/>
        </w:rPr>
        <w:t>Паркирование</w:t>
      </w:r>
      <w:proofErr w:type="spellEnd"/>
      <w:r w:rsidRPr="00D53293">
        <w:rPr>
          <w:sz w:val="20"/>
          <w:szCs w:val="20"/>
        </w:rPr>
        <w:t xml:space="preserve"> – временное пребывание на стоянках автотранспортных средств, принадлежащих посетителям объектов различного функционального назначения.</w:t>
      </w:r>
    </w:p>
    <w:p w:rsidR="00D53293" w:rsidRPr="00D53293" w:rsidRDefault="00D53293" w:rsidP="00D53293">
      <w:pPr>
        <w:ind w:firstLine="709"/>
        <w:jc w:val="both"/>
        <w:rPr>
          <w:sz w:val="20"/>
          <w:szCs w:val="20"/>
        </w:rPr>
      </w:pPr>
      <w:r w:rsidRPr="00D53293">
        <w:rPr>
          <w:b/>
          <w:sz w:val="20"/>
          <w:szCs w:val="20"/>
        </w:rPr>
        <w:t>Автостоянки</w:t>
      </w:r>
      <w:r w:rsidRPr="00D53293">
        <w:rPr>
          <w:sz w:val="20"/>
          <w:szCs w:val="20"/>
        </w:rPr>
        <w:t xml:space="preserve"> – открытые площадки, предназначенные для хранения или </w:t>
      </w:r>
      <w:proofErr w:type="spellStart"/>
      <w:r w:rsidRPr="00D53293">
        <w:rPr>
          <w:sz w:val="20"/>
          <w:szCs w:val="20"/>
        </w:rPr>
        <w:t>паркирования</w:t>
      </w:r>
      <w:proofErr w:type="spellEnd"/>
      <w:r w:rsidRPr="00D53293">
        <w:rPr>
          <w:sz w:val="20"/>
          <w:szCs w:val="20"/>
        </w:rPr>
        <w:t xml:space="preserve"> автомобилей. Автостоянки для хранения могут быть оборудованы навесами, легкими ограждениями боксов, смотровыми эстакадами. </w:t>
      </w:r>
      <w:proofErr w:type="gramStart"/>
      <w:r w:rsidRPr="00D53293">
        <w:rPr>
          <w:sz w:val="20"/>
          <w:szCs w:val="20"/>
        </w:rPr>
        <w:t>Автостоянки могут устраиваться внеуличными (в виде карманов, отступающих от проезжей части, и др.) либо уличными (в виде "парковок" на проезжей части, обозначенных разметкой).</w:t>
      </w:r>
      <w:proofErr w:type="gramEnd"/>
    </w:p>
    <w:p w:rsidR="00D53293" w:rsidRPr="00D53293" w:rsidRDefault="00D53293" w:rsidP="00D53293">
      <w:pPr>
        <w:ind w:firstLine="709"/>
        <w:jc w:val="both"/>
        <w:rPr>
          <w:sz w:val="20"/>
          <w:szCs w:val="20"/>
        </w:rPr>
      </w:pPr>
      <w:r w:rsidRPr="00D53293">
        <w:rPr>
          <w:b/>
          <w:sz w:val="20"/>
          <w:szCs w:val="20"/>
        </w:rPr>
        <w:t>Транспортная услуга</w:t>
      </w:r>
      <w:r w:rsidRPr="00D53293">
        <w:rPr>
          <w:sz w:val="20"/>
          <w:szCs w:val="20"/>
        </w:rPr>
        <w:t xml:space="preserve"> – результат деятельности исполнителя транспортной услуги по удовлетворению потребностей пассажира, грузоотправителя и грузополучателя в перевозках в соответствии с установленными нормами и требованиями;</w:t>
      </w:r>
    </w:p>
    <w:p w:rsidR="00D53293" w:rsidRPr="00D53293" w:rsidRDefault="00D53293" w:rsidP="00D53293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53293">
        <w:rPr>
          <w:b/>
          <w:sz w:val="20"/>
          <w:szCs w:val="20"/>
        </w:rPr>
        <w:lastRenderedPageBreak/>
        <w:t>Транспортное обслуживание</w:t>
      </w:r>
      <w:r w:rsidRPr="00D53293">
        <w:rPr>
          <w:sz w:val="20"/>
          <w:szCs w:val="20"/>
        </w:rPr>
        <w:t xml:space="preserve"> – процесс предоставления транспортных услуг потребителям, в соответствии с установленными нормами и требованиями.</w:t>
      </w:r>
    </w:p>
    <w:p w:rsidR="00D53293" w:rsidRPr="00D53293" w:rsidRDefault="00D53293" w:rsidP="00D53293">
      <w:pPr>
        <w:ind w:firstLine="709"/>
        <w:jc w:val="both"/>
      </w:pPr>
    </w:p>
    <w:p w:rsidR="00D53293" w:rsidRDefault="00D53293" w:rsidP="00D53293"/>
    <w:sectPr w:rsidR="00D53293" w:rsidSect="00D532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D26"/>
    <w:multiLevelType w:val="hybridMultilevel"/>
    <w:tmpl w:val="287EEFD0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12D3"/>
    <w:multiLevelType w:val="hybridMultilevel"/>
    <w:tmpl w:val="C3BA36E6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C"/>
    <w:rsid w:val="001E03FC"/>
    <w:rsid w:val="00266E36"/>
    <w:rsid w:val="00472934"/>
    <w:rsid w:val="00590E0C"/>
    <w:rsid w:val="005A6E42"/>
    <w:rsid w:val="00710DC8"/>
    <w:rsid w:val="00A3717F"/>
    <w:rsid w:val="00B3072D"/>
    <w:rsid w:val="00D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10</cp:revision>
  <dcterms:created xsi:type="dcterms:W3CDTF">2022-11-23T08:24:00Z</dcterms:created>
  <dcterms:modified xsi:type="dcterms:W3CDTF">2022-11-28T08:52:00Z</dcterms:modified>
</cp:coreProperties>
</file>